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4DE" w:rsidRPr="00DB75D6" w:rsidRDefault="007734DE" w:rsidP="00B62B31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v kontakte s </w:t>
      </w:r>
      <w:r w:rsidR="00E64EDE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posk</w:t>
      </w:r>
      <w:r w:rsidR="002A5968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y</w:t>
      </w:r>
      <w:r w:rsidR="00E64EDE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tovateľmi tovarov a služieb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pri riešení 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podmieňovania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</w:t>
      </w:r>
      <w:r w:rsidR="00E64EDE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poskytnutia 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služby </w:t>
      </w:r>
      <w:r w:rsidR="002A5968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alebo predaja tovaru 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prekr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ývaním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si horn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ých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dýchac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ích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c</w:t>
      </w:r>
      <w:r w:rsidR="00612736"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i</w:t>
      </w:r>
      <w:r w:rsidRPr="00DB75D6">
        <w:rPr>
          <w:rFonts w:eastAsia="Times New Roman" w:cs="Times New Roman"/>
          <w:bCs/>
          <w:caps/>
          <w:sz w:val="20"/>
          <w:szCs w:val="20"/>
          <w:lang w:val="it-IT" w:eastAsia="it-IT"/>
        </w:rPr>
        <w:t>est prekážkou v dýchaní platí:</w:t>
      </w:r>
    </w:p>
    <w:p w:rsidR="002B09D4" w:rsidRPr="00DB75D6" w:rsidRDefault="00421A23" w:rsidP="00B62B31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Times New Roman"/>
          <w:sz w:val="20"/>
          <w:szCs w:val="20"/>
          <w:lang w:val="it-IT" w:eastAsia="it-IT"/>
        </w:rPr>
      </w:pP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Priestupkom podľa </w:t>
      </w:r>
      <w:r w:rsidRPr="00DB75D6">
        <w:rPr>
          <w:rFonts w:eastAsia="Times New Roman" w:cs="Segoe UI"/>
          <w:bCs/>
          <w:sz w:val="20"/>
          <w:szCs w:val="20"/>
          <w:lang w:val="it-IT" w:eastAsia="it-IT"/>
        </w:rPr>
        <w:t xml:space="preserve">§ 2 odst. 2 písm. a) Zákona č. 372/1990 Z.z. </w:t>
      </w: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nie je konanie, ktorým niekto primeraným spôsobom odvracia priamo hroziaci útok na záujem chránený Trestným zákonom (ďalej len “</w:t>
      </w:r>
      <w:r w:rsidRPr="00DB75D6">
        <w:rPr>
          <w:rFonts w:eastAsia="Times New Roman" w:cs="Segoe UI"/>
          <w:i/>
          <w:sz w:val="20"/>
          <w:szCs w:val="20"/>
          <w:u w:val="single"/>
          <w:lang w:val="it-IT" w:eastAsia="it-IT"/>
        </w:rPr>
        <w:t>TZ</w:t>
      </w: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”)</w:t>
      </w:r>
      <w:r w:rsidRPr="00DB75D6">
        <w:rPr>
          <w:rFonts w:cs="Segoe UI"/>
          <w:sz w:val="20"/>
          <w:szCs w:val="20"/>
          <w:shd w:val="clear" w:color="auto" w:fill="FFFFFF"/>
        </w:rPr>
        <w:t>.</w:t>
      </w:r>
      <w:r w:rsidR="007734DE" w:rsidRPr="00DB75D6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0718C5" w:rsidRPr="000718C5">
        <w:rPr>
          <w:rFonts w:cs="Segoe UI"/>
          <w:sz w:val="20"/>
          <w:szCs w:val="20"/>
          <w:shd w:val="clear" w:color="auto" w:fill="FFFFFF"/>
        </w:rPr>
        <w:t xml:space="preserve">Ochrane zdravia ako záujmu </w:t>
      </w:r>
      <w:r w:rsidR="000718C5" w:rsidRPr="000718C5">
        <w:rPr>
          <w:rFonts w:eastAsia="Times New Roman" w:cs="Times New Roman"/>
          <w:bCs/>
          <w:sz w:val="20"/>
          <w:szCs w:val="20"/>
          <w:lang w:val="it-IT" w:eastAsia="it-IT"/>
        </w:rPr>
        <w:t>chránenému Trestným zákonom dáva rámec celý II. diel  Prvej hlavy Druhej časti Trestného zákona (“</w:t>
      </w:r>
      <w:r w:rsidR="000718C5" w:rsidRPr="000718C5">
        <w:rPr>
          <w:rFonts w:eastAsia="Times New Roman" w:cs="Times New Roman"/>
          <w:bCs/>
          <w:i/>
          <w:sz w:val="20"/>
          <w:szCs w:val="20"/>
          <w:lang w:val="it-IT" w:eastAsia="it-IT"/>
        </w:rPr>
        <w:t>Trestné činy proti zdraviu</w:t>
      </w:r>
      <w:r w:rsidR="000718C5" w:rsidRPr="000718C5">
        <w:rPr>
          <w:rFonts w:eastAsia="Times New Roman" w:cs="Times New Roman"/>
          <w:bCs/>
          <w:sz w:val="20"/>
          <w:szCs w:val="20"/>
          <w:lang w:val="it-IT" w:eastAsia="it-IT"/>
        </w:rPr>
        <w:t>”), celý III. diel Prvej hlavy Druhej časti Trestného zákona Trestného zákona (“</w:t>
      </w:r>
      <w:r w:rsidR="000718C5" w:rsidRPr="000718C5">
        <w:rPr>
          <w:rFonts w:eastAsia="Times New Roman" w:cs="Times New Roman"/>
          <w:bCs/>
          <w:i/>
          <w:sz w:val="20"/>
          <w:szCs w:val="20"/>
          <w:lang w:val="it-IT" w:eastAsia="it-IT"/>
        </w:rPr>
        <w:t>Trestné činy ohrozujúce život alebo zdravie</w:t>
      </w:r>
      <w:r w:rsidR="000718C5" w:rsidRPr="000718C5">
        <w:rPr>
          <w:rFonts w:eastAsia="Times New Roman" w:cs="Times New Roman"/>
          <w:bCs/>
          <w:sz w:val="20"/>
          <w:szCs w:val="20"/>
          <w:lang w:val="it-IT" w:eastAsia="it-IT"/>
        </w:rPr>
        <w:t>”) a § 420 TZ (“</w:t>
      </w:r>
      <w:r w:rsidR="000718C5" w:rsidRPr="000718C5">
        <w:rPr>
          <w:rFonts w:eastAsia="Times New Roman" w:cs="Segoe UI"/>
          <w:bCs/>
          <w:i/>
          <w:sz w:val="20"/>
          <w:szCs w:val="20"/>
          <w:lang w:val="it-IT" w:eastAsia="it-IT"/>
        </w:rPr>
        <w:t>Mučenie a iné neľudské alebo kruté zaobchádzanie</w:t>
      </w:r>
      <w:r w:rsidR="000718C5" w:rsidRPr="000718C5">
        <w:rPr>
          <w:rFonts w:eastAsia="Times New Roman" w:cs="Segoe UI"/>
          <w:bCs/>
          <w:sz w:val="20"/>
          <w:szCs w:val="20"/>
          <w:lang w:val="it-IT" w:eastAsia="it-IT"/>
        </w:rPr>
        <w:t>”</w:t>
      </w:r>
      <w:r w:rsidR="000718C5" w:rsidRPr="000718C5">
        <w:rPr>
          <w:rFonts w:eastAsia="Times New Roman" w:cs="Times New Roman"/>
          <w:bCs/>
          <w:sz w:val="20"/>
          <w:szCs w:val="20"/>
          <w:lang w:val="it-IT" w:eastAsia="it-IT"/>
        </w:rPr>
        <w:t>).</w:t>
      </w:r>
      <w:r w:rsidR="000718C5" w:rsidRPr="006856AD">
        <w:rPr>
          <w:rFonts w:eastAsia="Times New Roman" w:cs="Times New Roman"/>
          <w:bCs/>
          <w:lang w:val="it-IT" w:eastAsia="it-IT"/>
        </w:rPr>
        <w:t xml:space="preserve"> </w:t>
      </w:r>
      <w:r w:rsidR="00473BEA" w:rsidRPr="00DB75D6">
        <w:rPr>
          <w:rFonts w:eastAsia="Times New Roman" w:cs="Times New Roman"/>
          <w:bCs/>
          <w:sz w:val="20"/>
          <w:szCs w:val="20"/>
          <w:lang w:val="it-IT" w:eastAsia="it-IT"/>
        </w:rPr>
        <w:t xml:space="preserve">Právo na ochranu zdravia </w:t>
      </w:r>
      <w:r w:rsidR="00473BEA" w:rsidRPr="00DB75D6">
        <w:rPr>
          <w:bCs/>
          <w:sz w:val="20"/>
          <w:szCs w:val="20"/>
          <w:shd w:val="clear" w:color="auto" w:fill="FFFFFF"/>
        </w:rPr>
        <w:t>pritom vychádza z č</w:t>
      </w:r>
      <w:r w:rsidR="00473BEA" w:rsidRPr="00DB75D6">
        <w:rPr>
          <w:rFonts w:eastAsia="Times New Roman" w:cs="Segoe UI"/>
          <w:sz w:val="20"/>
          <w:szCs w:val="20"/>
          <w:lang w:val="it-IT" w:eastAsia="it-IT"/>
        </w:rPr>
        <w:t>l. 40 Ústavy SR.</w:t>
      </w:r>
      <w:r w:rsidR="00962C5F" w:rsidRPr="00DB75D6">
        <w:rPr>
          <w:rFonts w:eastAsia="Times New Roman" w:cs="Segoe UI"/>
          <w:sz w:val="20"/>
          <w:szCs w:val="20"/>
          <w:lang w:val="it-IT" w:eastAsia="it-IT"/>
        </w:rPr>
        <w:t xml:space="preserve"> Pritom platí, že </w:t>
      </w:r>
      <w:r w:rsidR="00962C5F"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d</w:t>
      </w:r>
      <w:r w:rsidR="00C71125"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>ýchanie bez prekážok je samozrejmosťou, ktorá nás sprevádzala od nášho narodenia (v</w:t>
      </w:r>
      <w:r w:rsidR="00C71125" w:rsidRPr="00DB75D6">
        <w:rPr>
          <w:rFonts w:eastAsia="Times New Roman" w:cs="Times New Roman"/>
          <w:sz w:val="20"/>
          <w:szCs w:val="20"/>
          <w:lang w:val="it-IT" w:eastAsia="it-IT"/>
        </w:rPr>
        <w:t xml:space="preserve"> </w:t>
      </w:r>
      <w:r w:rsidR="00C71125"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>práve platí zásada, že notoricky známe skutočnosti sa nedokazujú</w:t>
      </w:r>
      <w:r w:rsidR="00C71125" w:rsidRPr="00DB75D6">
        <w:rPr>
          <w:rFonts w:eastAsia="Times New Roman" w:cs="Times New Roman"/>
          <w:caps/>
          <w:sz w:val="20"/>
          <w:szCs w:val="20"/>
          <w:u w:val="single"/>
          <w:lang w:val="it-IT" w:eastAsia="it-IT"/>
        </w:rPr>
        <w:t>)</w:t>
      </w:r>
      <w:r w:rsidR="00C71125"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. </w:t>
      </w:r>
      <w:r w:rsidR="002B09D4"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Je všeobecne známe, že nedostatok kyslíka nielenže poškodzuje zdravie, spôsobuje  </w:t>
      </w:r>
      <w:r w:rsidR="002B09D4" w:rsidRPr="00DB75D6">
        <w:rPr>
          <w:sz w:val="20"/>
          <w:szCs w:val="20"/>
          <w:u w:val="single"/>
        </w:rPr>
        <w:t>silné telesné alebo duševné utrpenie, ale môže spôsobiť aj smrť. Rovnako je všeobecne známe, že podmieňovanie akéhokoľvek konania obmedzením dýchania prostredníctvom vynucovaného prekrytia si horných dýchacích ciest prekážkou v dýchaní je považované</w:t>
      </w:r>
      <w:r w:rsidR="002B09D4"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za mučenie.</w:t>
      </w:r>
      <w:r w:rsidR="00C71125" w:rsidRPr="00DB75D6">
        <w:rPr>
          <w:rFonts w:eastAsia="Times New Roman" w:cs="Times New Roman"/>
          <w:sz w:val="20"/>
          <w:szCs w:val="20"/>
          <w:lang w:val="it-IT" w:eastAsia="it-IT"/>
        </w:rPr>
        <w:t xml:space="preserve"> </w:t>
      </w:r>
      <w:r w:rsidR="002B09D4" w:rsidRPr="00DB75D6">
        <w:rPr>
          <w:rFonts w:eastAsia="Times New Roman" w:cs="Times New Roman"/>
          <w:sz w:val="20"/>
          <w:szCs w:val="20"/>
          <w:lang w:val="it-IT" w:eastAsia="it-IT"/>
        </w:rPr>
        <w:t xml:space="preserve"> </w:t>
      </w:r>
    </w:p>
    <w:p w:rsidR="00C71125" w:rsidRPr="00DB75D6" w:rsidRDefault="002B09D4" w:rsidP="00B62B31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Times New Roman"/>
          <w:sz w:val="20"/>
          <w:szCs w:val="20"/>
          <w:lang w:val="it-IT" w:eastAsia="it-IT"/>
        </w:rPr>
      </w:pPr>
      <w:r w:rsidRPr="00DB75D6">
        <w:rPr>
          <w:rFonts w:cs="Arial"/>
          <w:sz w:val="20"/>
          <w:szCs w:val="20"/>
        </w:rPr>
        <w:t xml:space="preserve">Podľa čl.5 odst.1 písm. b) </w:t>
      </w:r>
      <w:r w:rsidRPr="00DB75D6">
        <w:rPr>
          <w:rFonts w:cs="Arial"/>
          <w:sz w:val="20"/>
          <w:szCs w:val="20"/>
          <w:u w:val="single"/>
        </w:rPr>
        <w:t>Rímskeho štatútu Medzinárodného trestného súdu do jurisdikcie súdu spadajú trestné činy proti ľudskosti</w:t>
      </w:r>
      <w:r w:rsidRPr="00DB75D6">
        <w:rPr>
          <w:rFonts w:cs="Arial"/>
          <w:sz w:val="20"/>
          <w:szCs w:val="20"/>
        </w:rPr>
        <w:t xml:space="preserve">, pričom podľa čl.5 odst.1  </w:t>
      </w:r>
      <w:r w:rsidRPr="00DB75D6">
        <w:rPr>
          <w:rFonts w:cs="Arial"/>
          <w:caps/>
          <w:sz w:val="20"/>
          <w:szCs w:val="20"/>
        </w:rPr>
        <w:t>“</w:t>
      </w:r>
      <w:r w:rsidRPr="00DB75D6">
        <w:rPr>
          <w:rFonts w:cs="Arial"/>
          <w:sz w:val="20"/>
          <w:szCs w:val="20"/>
          <w:u w:val="single"/>
        </w:rPr>
        <w:t>zločin proti ľudskosti” znamená  akýkoľvek z uvedených činov, ak bol spáchaný ako súčasť rozsiahleho alebo systematického útoku namiereného proti civilnému obyvateľstvu s vedomím útoku</w:t>
      </w:r>
      <w:r w:rsidRPr="00DB75D6">
        <w:rPr>
          <w:rFonts w:cs="Arial"/>
          <w:caps/>
          <w:sz w:val="20"/>
          <w:szCs w:val="20"/>
        </w:rPr>
        <w:t xml:space="preserve">, </w:t>
      </w:r>
      <w:r w:rsidRPr="00DB75D6">
        <w:rPr>
          <w:rFonts w:cs="Arial"/>
          <w:sz w:val="20"/>
          <w:szCs w:val="20"/>
        </w:rPr>
        <w:t>akým je napr. podľa písm.</w:t>
      </w:r>
      <w:r w:rsidRPr="00DB75D6">
        <w:rPr>
          <w:rFonts w:cs="Arial"/>
          <w:caps/>
          <w:sz w:val="20"/>
          <w:szCs w:val="20"/>
        </w:rPr>
        <w:t xml:space="preserve"> </w:t>
      </w:r>
      <w:r w:rsidRPr="00DB75D6">
        <w:rPr>
          <w:rFonts w:cs="Arial"/>
          <w:sz w:val="20"/>
          <w:szCs w:val="20"/>
          <w:u w:val="single"/>
        </w:rPr>
        <w:t xml:space="preserve">f) mučenie (pozri aj </w:t>
      </w:r>
      <w:r w:rsidRPr="00DB75D6">
        <w:rPr>
          <w:rFonts w:cs="Segoe UI"/>
          <w:sz w:val="20"/>
          <w:szCs w:val="20"/>
          <w:u w:val="single"/>
        </w:rPr>
        <w:t xml:space="preserve">§ 420 </w:t>
      </w:r>
      <w:r w:rsidR="00421A23" w:rsidRPr="00DB75D6">
        <w:rPr>
          <w:rFonts w:cs="Segoe UI"/>
          <w:sz w:val="20"/>
          <w:szCs w:val="20"/>
          <w:u w:val="single"/>
        </w:rPr>
        <w:t>TZ</w:t>
      </w:r>
      <w:r w:rsidRPr="00DB75D6">
        <w:rPr>
          <w:rFonts w:cs="Segoe UI"/>
          <w:sz w:val="20"/>
          <w:szCs w:val="20"/>
          <w:u w:val="single"/>
        </w:rPr>
        <w:t xml:space="preserve">), </w:t>
      </w:r>
      <w:r w:rsidRPr="00DB75D6">
        <w:rPr>
          <w:rFonts w:cs="Arial"/>
          <w:sz w:val="20"/>
          <w:szCs w:val="20"/>
          <w:u w:val="single"/>
        </w:rPr>
        <w:t>podľa písm. j)</w:t>
      </w:r>
      <w:r w:rsidRPr="00DB75D6">
        <w:rPr>
          <w:rFonts w:cs="Segoe UI"/>
          <w:sz w:val="20"/>
          <w:szCs w:val="20"/>
          <w:u w:val="single"/>
        </w:rPr>
        <w:t>,</w:t>
      </w:r>
      <w:r w:rsidRPr="00DB75D6">
        <w:rPr>
          <w:rFonts w:cs="Arial"/>
          <w:sz w:val="20"/>
          <w:szCs w:val="20"/>
          <w:u w:val="single"/>
        </w:rPr>
        <w:t xml:space="preserve"> trestný čin apartheidu (pozri aj </w:t>
      </w:r>
      <w:r w:rsidRPr="00DB75D6">
        <w:rPr>
          <w:rFonts w:cs="Segoe UI"/>
          <w:sz w:val="20"/>
          <w:szCs w:val="20"/>
          <w:u w:val="single"/>
        </w:rPr>
        <w:t xml:space="preserve">§ 424a </w:t>
      </w:r>
      <w:r w:rsidR="00421A23" w:rsidRPr="00DB75D6">
        <w:rPr>
          <w:rFonts w:cs="Segoe UI"/>
          <w:sz w:val="20"/>
          <w:szCs w:val="20"/>
          <w:u w:val="single"/>
        </w:rPr>
        <w:t>TZ</w:t>
      </w:r>
      <w:r w:rsidRPr="00DB75D6">
        <w:rPr>
          <w:rFonts w:cs="Segoe UI"/>
          <w:sz w:val="20"/>
          <w:szCs w:val="20"/>
          <w:u w:val="single"/>
        </w:rPr>
        <w:t xml:space="preserve">) </w:t>
      </w:r>
      <w:r w:rsidRPr="00DB75D6">
        <w:rPr>
          <w:rFonts w:cs="Arial"/>
          <w:sz w:val="20"/>
          <w:szCs w:val="20"/>
          <w:u w:val="single"/>
        </w:rPr>
        <w:t>a podľa písm. k)</w:t>
      </w:r>
      <w:r w:rsidRPr="00DB75D6">
        <w:rPr>
          <w:rFonts w:cs="Segoe UI"/>
          <w:sz w:val="20"/>
          <w:szCs w:val="20"/>
          <w:u w:val="single"/>
        </w:rPr>
        <w:t xml:space="preserve"> </w:t>
      </w:r>
      <w:r w:rsidRPr="00DB75D6">
        <w:rPr>
          <w:rFonts w:cs="Arial"/>
          <w:sz w:val="20"/>
          <w:szCs w:val="20"/>
          <w:u w:val="single"/>
        </w:rPr>
        <w:t xml:space="preserve">ďalšie neľudské činy podobnej povahy úmyselne spôsobujúce veľké utrpenie alebo vážne zranenie tela alebo poškodenie duševného či fyzického zdravia (pozri aj </w:t>
      </w:r>
      <w:r w:rsidRPr="00DB75D6">
        <w:rPr>
          <w:rFonts w:cs="Segoe UI"/>
          <w:sz w:val="20"/>
          <w:szCs w:val="20"/>
          <w:u w:val="single"/>
        </w:rPr>
        <w:t xml:space="preserve">§ 425 </w:t>
      </w:r>
      <w:r w:rsidR="00421A23" w:rsidRPr="00DB75D6">
        <w:rPr>
          <w:rFonts w:cs="Segoe UI"/>
          <w:sz w:val="20"/>
          <w:szCs w:val="20"/>
          <w:u w:val="single"/>
        </w:rPr>
        <w:t>TZ</w:t>
      </w:r>
      <w:r w:rsidRPr="00DB75D6">
        <w:rPr>
          <w:rFonts w:cs="Segoe UI"/>
          <w:sz w:val="20"/>
          <w:szCs w:val="20"/>
          <w:u w:val="single"/>
        </w:rPr>
        <w:t>)</w:t>
      </w:r>
      <w:r w:rsidRPr="00DB75D6">
        <w:rPr>
          <w:rFonts w:cs="Arial"/>
          <w:sz w:val="20"/>
          <w:szCs w:val="20"/>
          <w:u w:val="single"/>
        </w:rPr>
        <w:t xml:space="preserve">. </w:t>
      </w:r>
      <w:r w:rsidRPr="00DB75D6">
        <w:rPr>
          <w:rFonts w:eastAsia="Times New Roman" w:cs="Times New Roman"/>
          <w:sz w:val="20"/>
          <w:szCs w:val="20"/>
          <w:lang w:val="it-IT" w:eastAsia="it-IT"/>
        </w:rPr>
        <w:t>Ďalej</w:t>
      </w:r>
      <w:r w:rsidR="00C71125" w:rsidRPr="00DB75D6">
        <w:rPr>
          <w:rFonts w:eastAsia="Times New Roman" w:cs="Times New Roman"/>
          <w:sz w:val="20"/>
          <w:szCs w:val="20"/>
          <w:lang w:val="it-IT" w:eastAsia="it-IT"/>
        </w:rPr>
        <w:t xml:space="preserve"> si preto </w:t>
      </w:r>
      <w:r w:rsidRPr="00DB75D6">
        <w:rPr>
          <w:rFonts w:eastAsia="Times New Roman" w:cs="Times New Roman"/>
          <w:sz w:val="20"/>
          <w:szCs w:val="20"/>
          <w:lang w:val="it-IT" w:eastAsia="it-IT"/>
        </w:rPr>
        <w:t xml:space="preserve">dovoľujem </w:t>
      </w:r>
      <w:r w:rsidR="00C71125" w:rsidRPr="00DB75D6">
        <w:rPr>
          <w:rFonts w:eastAsia="Times New Roman" w:cs="Times New Roman"/>
          <w:sz w:val="20"/>
          <w:szCs w:val="20"/>
          <w:lang w:val="it-IT" w:eastAsia="it-IT"/>
        </w:rPr>
        <w:t>upozorniť, že:</w:t>
      </w:r>
    </w:p>
    <w:p w:rsidR="00D2050D" w:rsidRPr="00DB75D6" w:rsidRDefault="00D2050D" w:rsidP="00B62B31">
      <w:pPr>
        <w:pStyle w:val="Odsekzoznamu"/>
        <w:numPr>
          <w:ilvl w:val="1"/>
          <w:numId w:val="1"/>
        </w:numPr>
        <w:spacing w:after="0"/>
        <w:ind w:left="1134"/>
        <w:jc w:val="both"/>
        <w:rPr>
          <w:rFonts w:eastAsia="Times New Roman" w:cs="Segoe UI"/>
          <w:i/>
          <w:sz w:val="20"/>
          <w:szCs w:val="20"/>
          <w:lang w:val="it-IT" w:eastAsia="it-IT"/>
        </w:rPr>
      </w:pPr>
      <w:r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>Mučenie zakazuje Európsky dohovor o ľudských právach</w:t>
      </w:r>
      <w:r w:rsidRPr="00DB75D6">
        <w:rPr>
          <w:rFonts w:eastAsia="Times New Roman" w:cs="Times New Roman"/>
          <w:sz w:val="20"/>
          <w:szCs w:val="20"/>
          <w:lang w:val="it-IT" w:eastAsia="it-IT"/>
        </w:rPr>
        <w:t xml:space="preserve"> (Čl.3) </w:t>
      </w:r>
      <w:r w:rsidRPr="00DB75D6">
        <w:rPr>
          <w:rFonts w:eastAsia="Times New Roman" w:cs="Times New Roman"/>
          <w:sz w:val="20"/>
          <w:szCs w:val="20"/>
          <w:u w:val="single"/>
          <w:lang w:val="it-IT" w:eastAsia="it-IT"/>
        </w:rPr>
        <w:t>a aj Ústava SR</w:t>
      </w:r>
      <w:r w:rsidRPr="00DB75D6">
        <w:rPr>
          <w:rFonts w:eastAsia="Times New Roman" w:cs="Times New Roman"/>
          <w:sz w:val="20"/>
          <w:szCs w:val="20"/>
          <w:lang w:val="it-IT" w:eastAsia="it-IT"/>
        </w:rPr>
        <w:t xml:space="preserve"> (</w:t>
      </w:r>
      <w:r w:rsidRPr="00DB75D6">
        <w:rPr>
          <w:rFonts w:eastAsia="Times New Roman" w:cs="Segoe UI"/>
          <w:sz w:val="20"/>
          <w:szCs w:val="20"/>
          <w:lang w:val="it-IT" w:eastAsia="it-IT"/>
        </w:rPr>
        <w:t>Čl. 16 ods.2).</w:t>
      </w:r>
    </w:p>
    <w:p w:rsidR="00D2050D" w:rsidRPr="00DB75D6" w:rsidRDefault="00D2050D" w:rsidP="00B62B31">
      <w:pPr>
        <w:pStyle w:val="Odsekzoznamu"/>
        <w:numPr>
          <w:ilvl w:val="1"/>
          <w:numId w:val="1"/>
        </w:numPr>
        <w:spacing w:after="0"/>
        <w:ind w:left="1134"/>
        <w:jc w:val="both"/>
        <w:rPr>
          <w:rFonts w:eastAsia="Times New Roman" w:cs="Segoe UI"/>
          <w:i/>
          <w:sz w:val="20"/>
          <w:szCs w:val="20"/>
          <w:lang w:val="it-IT" w:eastAsia="it-IT"/>
        </w:rPr>
      </w:pPr>
      <w:r w:rsidRPr="00DB75D6">
        <w:rPr>
          <w:rFonts w:eastAsia="Times New Roman" w:cs="Segoe UI"/>
          <w:sz w:val="20"/>
          <w:szCs w:val="20"/>
          <w:lang w:val="it-IT" w:eastAsia="it-IT"/>
        </w:rPr>
        <w:t xml:space="preserve">Pritom podľa Čl. 16 ods.1 </w:t>
      </w: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Ústavy SR je zaručená nedotknuteľnosť osoby</w:t>
      </w:r>
      <w:r w:rsidRPr="00DB75D6">
        <w:rPr>
          <w:rFonts w:eastAsia="Times New Roman" w:cs="Segoe UI"/>
          <w:sz w:val="20"/>
          <w:szCs w:val="20"/>
          <w:lang w:val="it-IT" w:eastAsia="it-IT"/>
        </w:rPr>
        <w:t xml:space="preserve"> a jej súkromia, </w:t>
      </w: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pričom môže byť obmedzená len v prípadoch ustanovených zákonom</w:t>
      </w:r>
      <w:r w:rsidRPr="00DB75D6">
        <w:rPr>
          <w:rFonts w:eastAsia="Times New Roman" w:cs="Segoe UI"/>
          <w:sz w:val="20"/>
          <w:szCs w:val="20"/>
          <w:lang w:val="it-IT" w:eastAsia="it-IT"/>
        </w:rPr>
        <w:t>.</w:t>
      </w:r>
    </w:p>
    <w:p w:rsidR="00D2050D" w:rsidRPr="00DB75D6" w:rsidRDefault="00D2050D" w:rsidP="00B62B31">
      <w:pPr>
        <w:pStyle w:val="Odsekzoznamu"/>
        <w:numPr>
          <w:ilvl w:val="1"/>
          <w:numId w:val="1"/>
        </w:numPr>
        <w:shd w:val="clear" w:color="auto" w:fill="FFFFFF"/>
        <w:spacing w:after="0"/>
        <w:ind w:left="1134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DB75D6">
        <w:rPr>
          <w:rFonts w:eastAsia="Times New Roman" w:cs="Segoe UI"/>
          <w:sz w:val="20"/>
          <w:szCs w:val="20"/>
          <w:lang w:val="it-IT" w:eastAsia="it-IT"/>
        </w:rPr>
        <w:t>Rovnako podľa Čl. 2 ods.2 Ústavy SR štátne orgány môžu konať iba na základe ústavy, v jej medziach a v rozsahu a spôsobom, ktorý ustanoví zákon.</w:t>
      </w:r>
    </w:p>
    <w:p w:rsidR="00D2050D" w:rsidRPr="00DB75D6" w:rsidRDefault="00D2050D" w:rsidP="00B62B31">
      <w:pPr>
        <w:pStyle w:val="Odsekzoznamu"/>
        <w:numPr>
          <w:ilvl w:val="1"/>
          <w:numId w:val="1"/>
        </w:numPr>
        <w:shd w:val="clear" w:color="auto" w:fill="FFFFFF"/>
        <w:spacing w:after="0"/>
        <w:ind w:left="1134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DB75D6">
        <w:rPr>
          <w:rFonts w:eastAsia="Times New Roman" w:cs="Segoe UI"/>
          <w:sz w:val="20"/>
          <w:szCs w:val="20"/>
          <w:lang w:val="it-IT" w:eastAsia="it-IT"/>
        </w:rPr>
        <w:t xml:space="preserve">V zmysle Čl. 13 ods.2 Ústavy SR </w:t>
      </w:r>
      <w:r w:rsidRPr="00DB75D6">
        <w:rPr>
          <w:rFonts w:eastAsia="Times New Roman" w:cs="Segoe UI"/>
          <w:sz w:val="20"/>
          <w:szCs w:val="20"/>
          <w:u w:val="single"/>
          <w:lang w:val="it-IT" w:eastAsia="it-IT"/>
        </w:rPr>
        <w:t>medze základných práv a slobôd možno upraviť za podmienok ustanovených touto ústavou len zákonom</w:t>
      </w:r>
      <w:r w:rsidRPr="00DB75D6">
        <w:rPr>
          <w:rFonts w:eastAsia="Times New Roman" w:cs="Segoe UI"/>
          <w:sz w:val="20"/>
          <w:szCs w:val="20"/>
          <w:lang w:val="it-IT" w:eastAsia="it-IT"/>
        </w:rPr>
        <w:t xml:space="preserve">. </w:t>
      </w:r>
    </w:p>
    <w:p w:rsidR="00D2050D" w:rsidRPr="00DB75D6" w:rsidRDefault="00D2050D" w:rsidP="00B62B31">
      <w:pPr>
        <w:pStyle w:val="Odsekzoznamu"/>
        <w:numPr>
          <w:ilvl w:val="1"/>
          <w:numId w:val="1"/>
        </w:numPr>
        <w:spacing w:after="0"/>
        <w:ind w:left="1134"/>
        <w:jc w:val="both"/>
        <w:rPr>
          <w:rFonts w:cs="Segoe UI"/>
          <w:bCs/>
          <w:sz w:val="20"/>
          <w:szCs w:val="20"/>
        </w:rPr>
      </w:pPr>
      <w:r w:rsidRPr="00DB75D6">
        <w:rPr>
          <w:sz w:val="20"/>
          <w:szCs w:val="20"/>
          <w:u w:val="single"/>
        </w:rPr>
        <w:t xml:space="preserve">Počas trvania vyhláseného núdzového stavu vládou môže obmedziť nedotknuteľnosť osoby a jej súkromia aj vláda a to iba jej </w:t>
      </w:r>
      <w:r w:rsidR="00F909F7" w:rsidRPr="00F909F7">
        <w:rPr>
          <w:sz w:val="20"/>
          <w:szCs w:val="20"/>
          <w:u w:val="single"/>
        </w:rPr>
        <w:t>núteným pobytom v obydlí alebo</w:t>
      </w:r>
      <w:r w:rsidR="00F909F7">
        <w:t xml:space="preserve"> </w:t>
      </w:r>
      <w:r w:rsidRPr="00DB75D6">
        <w:rPr>
          <w:sz w:val="20"/>
          <w:szCs w:val="20"/>
          <w:u w:val="single"/>
        </w:rPr>
        <w:t xml:space="preserve">evakuáciou na určené miesto </w:t>
      </w:r>
      <w:r w:rsidRPr="00DB75D6">
        <w:rPr>
          <w:sz w:val="20"/>
          <w:szCs w:val="20"/>
        </w:rPr>
        <w:t>(</w:t>
      </w:r>
      <w:r w:rsidRPr="00DB75D6">
        <w:rPr>
          <w:rFonts w:eastAsia="Times New Roman" w:cs="Segoe UI"/>
          <w:sz w:val="20"/>
          <w:szCs w:val="20"/>
          <w:lang w:val="it-IT" w:eastAsia="it-IT"/>
        </w:rPr>
        <w:t xml:space="preserve">Čl. 5 odst. 3 písm. a) </w:t>
      </w:r>
      <w:r w:rsidRPr="00DB75D6">
        <w:rPr>
          <w:rFonts w:cs="Segoe UI"/>
          <w:bCs/>
          <w:sz w:val="20"/>
          <w:szCs w:val="20"/>
        </w:rPr>
        <w:t xml:space="preserve">Ústavného zákona č. 227/2002 </w:t>
      </w:r>
      <w:proofErr w:type="spellStart"/>
      <w:r w:rsidRPr="00DB75D6">
        <w:rPr>
          <w:rFonts w:cs="Segoe UI"/>
          <w:bCs/>
          <w:sz w:val="20"/>
          <w:szCs w:val="20"/>
        </w:rPr>
        <w:t>Z.z</w:t>
      </w:r>
      <w:proofErr w:type="spellEnd"/>
      <w:r w:rsidRPr="00DB75D6">
        <w:rPr>
          <w:rFonts w:cs="Segoe UI"/>
          <w:bCs/>
          <w:sz w:val="20"/>
          <w:szCs w:val="20"/>
        </w:rPr>
        <w:t xml:space="preserve">.). </w:t>
      </w:r>
      <w:r w:rsidRPr="00DB75D6">
        <w:rPr>
          <w:rFonts w:cs="Segoe UI"/>
          <w:bCs/>
          <w:sz w:val="20"/>
          <w:szCs w:val="20"/>
          <w:u w:val="single"/>
        </w:rPr>
        <w:t>Obmedzenie rešpektovania telesnej a duševnej nedotknuteľnosti tak nie je uvedeným ustanovením dotknuté.</w:t>
      </w:r>
    </w:p>
    <w:p w:rsidR="00772850" w:rsidRPr="00772850" w:rsidRDefault="00772850" w:rsidP="00B62B31">
      <w:pPr>
        <w:pStyle w:val="Odsekzoznamu"/>
        <w:numPr>
          <w:ilvl w:val="0"/>
          <w:numId w:val="14"/>
        </w:numPr>
        <w:spacing w:after="0"/>
        <w:jc w:val="both"/>
        <w:rPr>
          <w:sz w:val="20"/>
          <w:szCs w:val="20"/>
          <w:u w:val="single"/>
        </w:rPr>
      </w:pPr>
      <w:r w:rsidRPr="00772850">
        <w:rPr>
          <w:sz w:val="20"/>
          <w:szCs w:val="20"/>
          <w:u w:val="single"/>
        </w:rPr>
        <w:t>Vyhláška Úradu verejného zdravotníctva Slovenskej republiky č. 11/2020, ktorou sa nariaďuje povinnosť prekrytia horných dýchacích ciest je vydaná v rozpore s vyššie uvedenými legislatívnymi podmienkami. Navyše:</w:t>
      </w:r>
    </w:p>
    <w:p w:rsidR="00772850" w:rsidRPr="00772850" w:rsidRDefault="00772850" w:rsidP="00B62B31">
      <w:pPr>
        <w:pStyle w:val="Normlnywebov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772850">
        <w:rPr>
          <w:rFonts w:asciiTheme="minorHAnsi" w:hAnsiTheme="minorHAnsi" w:cs="Arial"/>
          <w:sz w:val="20"/>
          <w:szCs w:val="20"/>
        </w:rPr>
        <w:t>S poukazom na § 1 ods. 1 Zák. č. 400/2015 Z.z., </w:t>
      </w:r>
      <w:r w:rsidRPr="00772850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uznesenie vlády nie je všeobecne záväzný právny predpis.</w:t>
      </w:r>
    </w:p>
    <w:p w:rsidR="00772850" w:rsidRPr="00772850" w:rsidRDefault="00772850" w:rsidP="00B62B31">
      <w:pPr>
        <w:pStyle w:val="Normlnywebov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772850">
        <w:rPr>
          <w:rFonts w:asciiTheme="minorHAnsi" w:hAnsiTheme="minorHAnsi" w:cs="Arial"/>
          <w:sz w:val="20"/>
          <w:szCs w:val="20"/>
        </w:rPr>
        <w:t>S poukazom na teóriu prá</w:t>
      </w:r>
      <w:bookmarkStart w:id="0" w:name="_GoBack"/>
      <w:bookmarkEnd w:id="0"/>
      <w:r w:rsidRPr="00772850">
        <w:rPr>
          <w:rFonts w:asciiTheme="minorHAnsi" w:hAnsiTheme="minorHAnsi" w:cs="Arial"/>
          <w:sz w:val="20"/>
          <w:szCs w:val="20"/>
        </w:rPr>
        <w:t xml:space="preserve">va ako aj Uznesenie Ústavného súdu Slovenskej republiky, zo dňa 18.5.2016, sp. zn. I. ÚS 323/2016-46, Rozsudok Najvyššieho súdu SR, zo dňa 12.12.2018, sp. zn. 8 Sžr 52/2016, </w:t>
      </w:r>
      <w:r w:rsidRPr="00772850">
        <w:rPr>
          <w:rFonts w:asciiTheme="minorHAnsi" w:hAnsiTheme="minorHAnsi" w:cs="Arial"/>
          <w:sz w:val="20"/>
          <w:szCs w:val="20"/>
          <w:u w:val="single"/>
        </w:rPr>
        <w:t>právny akt trpiaci </w:t>
      </w:r>
      <w:r w:rsidRPr="00772850">
        <w:rPr>
          <w:rStyle w:val="Zvraznenie"/>
          <w:rFonts w:asciiTheme="minorHAnsi" w:hAnsiTheme="minorHAnsi" w:cs="Arial"/>
          <w:bCs/>
          <w:i w:val="0"/>
          <w:sz w:val="20"/>
          <w:szCs w:val="20"/>
          <w:u w:val="single"/>
        </w:rPr>
        <w:t>nedostatkom právnej formy</w:t>
      </w:r>
      <w:r w:rsidRPr="00772850">
        <w:rPr>
          <w:rStyle w:val="has-inline-color"/>
          <w:rFonts w:asciiTheme="minorHAnsi" w:hAnsiTheme="minorHAnsi" w:cs="Arial"/>
          <w:sz w:val="20"/>
          <w:szCs w:val="20"/>
          <w:u w:val="single"/>
        </w:rPr>
        <w:t> je </w:t>
      </w:r>
      <w:r w:rsidRPr="00772850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NULITNÝ.</w:t>
      </w:r>
    </w:p>
    <w:p w:rsidR="00772850" w:rsidRPr="00772850" w:rsidRDefault="00772850" w:rsidP="00B62B31">
      <w:pPr>
        <w:pStyle w:val="Normlnywebov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772850">
        <w:rPr>
          <w:rFonts w:asciiTheme="minorHAnsi" w:hAnsiTheme="minorHAnsi" w:cs="Arial"/>
          <w:sz w:val="20"/>
          <w:szCs w:val="20"/>
        </w:rPr>
        <w:t xml:space="preserve">S poukazom na čl. 13 ods. 1 písm. a), čl. 120 ods. 1 Ústavy SR, </w:t>
      </w:r>
      <w:r w:rsidRPr="00772850">
        <w:rPr>
          <w:rFonts w:asciiTheme="minorHAnsi" w:hAnsiTheme="minorHAnsi" w:cs="Arial"/>
          <w:sz w:val="20"/>
          <w:szCs w:val="20"/>
          <w:u w:val="single"/>
        </w:rPr>
        <w:t>povinnosti možno ukladať zákonom alebo na základe zákona, v jeho medziach a pri zachovaní základných práv a slobôd.</w:t>
      </w:r>
      <w:r w:rsidRPr="00772850">
        <w:rPr>
          <w:rFonts w:asciiTheme="minorHAnsi" w:hAnsiTheme="minorHAnsi" w:cs="Arial"/>
          <w:sz w:val="20"/>
          <w:szCs w:val="20"/>
        </w:rPr>
        <w:t> Uznesenie vlády nie je zákon a nemá všeobecne záväzný charakter, kde </w:t>
      </w:r>
      <w:r w:rsidRPr="00772850">
        <w:rPr>
          <w:rStyle w:val="has-inline-color"/>
          <w:rFonts w:asciiTheme="minorHAnsi" w:hAnsiTheme="minorHAnsi" w:cs="Arial"/>
          <w:bCs/>
          <w:sz w:val="20"/>
          <w:szCs w:val="20"/>
        </w:rPr>
        <w:t>na vykonanie zákona vláda vydáva nariadenia</w:t>
      </w:r>
      <w:r w:rsidRPr="00772850">
        <w:rPr>
          <w:rStyle w:val="Siln"/>
          <w:rFonts w:asciiTheme="minorHAnsi" w:hAnsiTheme="minorHAnsi" w:cs="Arial"/>
          <w:sz w:val="20"/>
          <w:szCs w:val="20"/>
        </w:rPr>
        <w:t>.</w:t>
      </w:r>
      <w:r w:rsidRPr="00772850">
        <w:rPr>
          <w:rFonts w:asciiTheme="minorHAnsi" w:hAnsiTheme="minorHAnsi" w:cs="Arial"/>
          <w:sz w:val="20"/>
          <w:szCs w:val="20"/>
        </w:rPr>
        <w:t xml:space="preserve"> S poukazom na uvedené je </w:t>
      </w:r>
      <w:r w:rsidRPr="00772850">
        <w:rPr>
          <w:rFonts w:asciiTheme="minorHAnsi" w:hAnsiTheme="minorHAnsi" w:cs="Arial"/>
          <w:sz w:val="20"/>
          <w:szCs w:val="20"/>
          <w:u w:val="single"/>
        </w:rPr>
        <w:t>uznesenie vlády SR č. 587, zo dňa 30.9.2020 o núdzovom stave, </w:t>
      </w:r>
      <w:r w:rsidRPr="00772850">
        <w:rPr>
          <w:rStyle w:val="has-inline-color"/>
          <w:rFonts w:asciiTheme="minorHAnsi" w:hAnsiTheme="minorHAnsi" w:cs="Arial"/>
          <w:bCs/>
          <w:sz w:val="20"/>
          <w:szCs w:val="20"/>
          <w:u w:val="single"/>
        </w:rPr>
        <w:t>NULITNÉ</w:t>
      </w:r>
      <w:r w:rsidRPr="00772850">
        <w:rPr>
          <w:rStyle w:val="has-inline-color"/>
          <w:rFonts w:asciiTheme="minorHAnsi" w:hAnsiTheme="minorHAnsi" w:cs="Arial"/>
          <w:bCs/>
          <w:sz w:val="20"/>
          <w:szCs w:val="20"/>
        </w:rPr>
        <w:t>.</w:t>
      </w:r>
    </w:p>
    <w:p w:rsidR="00772850" w:rsidRPr="00772850" w:rsidRDefault="00772850" w:rsidP="00B62B31">
      <w:pPr>
        <w:pStyle w:val="Normlnywebov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772850">
        <w:rPr>
          <w:rFonts w:asciiTheme="minorHAnsi" w:hAnsiTheme="minorHAnsi" w:cs="Arial"/>
          <w:sz w:val="20"/>
          <w:szCs w:val="20"/>
        </w:rPr>
        <w:t>S poukazom na zásadu </w:t>
      </w:r>
      <w:r w:rsidRPr="00772850">
        <w:rPr>
          <w:rStyle w:val="Zvraznenie"/>
          <w:rFonts w:asciiTheme="minorHAnsi" w:hAnsiTheme="minorHAnsi" w:cs="Arial"/>
          <w:bCs/>
          <w:i w:val="0"/>
          <w:caps/>
          <w:sz w:val="20"/>
          <w:szCs w:val="20"/>
        </w:rPr>
        <w:t>ex iniuria ius non oritur</w:t>
      </w:r>
      <w:r w:rsidRPr="00772850">
        <w:rPr>
          <w:rFonts w:asciiTheme="minorHAnsi" w:hAnsiTheme="minorHAnsi" w:cs="Arial"/>
          <w:sz w:val="20"/>
          <w:szCs w:val="20"/>
        </w:rPr>
        <w:t> –</w:t>
      </w:r>
      <w:r w:rsidRPr="00772850">
        <w:rPr>
          <w:rStyle w:val="Siln"/>
          <w:rFonts w:asciiTheme="minorHAnsi" w:hAnsiTheme="minorHAnsi" w:cs="Arial"/>
          <w:sz w:val="20"/>
          <w:szCs w:val="20"/>
        </w:rPr>
        <w:t> </w:t>
      </w:r>
      <w:r w:rsidRPr="00772850">
        <w:rPr>
          <w:rFonts w:asciiTheme="minorHAnsi" w:hAnsiTheme="minorHAnsi" w:cs="Arial"/>
          <w:sz w:val="20"/>
          <w:szCs w:val="20"/>
        </w:rPr>
        <w:t xml:space="preserve">z bezprávia nevzniká právo, predmetná </w:t>
      </w:r>
      <w:r w:rsidRPr="00772850">
        <w:rPr>
          <w:rFonts w:asciiTheme="minorHAnsi" w:hAnsiTheme="minorHAnsi" w:cs="Arial"/>
          <w:sz w:val="20"/>
          <w:szCs w:val="20"/>
          <w:u w:val="single"/>
        </w:rPr>
        <w:t>vyhláška vydaná titulom nulitného uznesenia vlády o núdzovom stave, je rovnako</w:t>
      </w:r>
      <w:r w:rsidRPr="00772850">
        <w:rPr>
          <w:rStyle w:val="has-inline-color"/>
          <w:rFonts w:asciiTheme="minorHAnsi" w:hAnsiTheme="minorHAnsi" w:cs="Arial"/>
          <w:sz w:val="20"/>
          <w:szCs w:val="20"/>
          <w:u w:val="single"/>
        </w:rPr>
        <w:t> </w:t>
      </w:r>
      <w:r w:rsidRPr="00772850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NULITNÁ</w:t>
      </w:r>
      <w:r w:rsidRPr="00772850">
        <w:rPr>
          <w:rStyle w:val="has-inline-color"/>
          <w:rFonts w:asciiTheme="minorHAnsi" w:hAnsiTheme="minorHAnsi" w:cs="Arial"/>
          <w:b/>
          <w:sz w:val="20"/>
          <w:szCs w:val="20"/>
        </w:rPr>
        <w:t>.</w:t>
      </w:r>
    </w:p>
    <w:p w:rsidR="00772850" w:rsidRPr="00772850" w:rsidRDefault="00772850" w:rsidP="00B62B31">
      <w:pPr>
        <w:pStyle w:val="Normlnywebov"/>
        <w:numPr>
          <w:ilvl w:val="0"/>
          <w:numId w:val="20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772850">
        <w:rPr>
          <w:rFonts w:asciiTheme="minorHAnsi" w:hAnsiTheme="minorHAnsi" w:cs="Arial"/>
          <w:sz w:val="20"/>
          <w:szCs w:val="20"/>
        </w:rPr>
        <w:t xml:space="preserve">Predmetná vyhláška vydaná podľa § 59b Zák. č. 355/2007 Z.z. </w:t>
      </w:r>
      <w:r w:rsidRPr="00772850">
        <w:rPr>
          <w:rFonts w:asciiTheme="minorHAnsi" w:hAnsiTheme="minorHAnsi" w:cs="Arial"/>
          <w:sz w:val="20"/>
          <w:szCs w:val="20"/>
          <w:u w:val="single"/>
        </w:rPr>
        <w:t xml:space="preserve">je </w:t>
      </w:r>
      <w:r w:rsidRPr="00772850">
        <w:rPr>
          <w:rFonts w:asciiTheme="minorHAnsi" w:hAnsiTheme="minorHAnsi" w:cs="Arial"/>
          <w:caps/>
          <w:sz w:val="20"/>
          <w:szCs w:val="20"/>
          <w:u w:val="single"/>
        </w:rPr>
        <w:t>nulitná</w:t>
      </w:r>
      <w:r w:rsidRPr="00772850">
        <w:rPr>
          <w:rFonts w:asciiTheme="minorHAnsi" w:hAnsiTheme="minorHAnsi" w:cs="Arial"/>
          <w:sz w:val="20"/>
          <w:szCs w:val="20"/>
          <w:u w:val="single"/>
        </w:rPr>
        <w:t xml:space="preserve"> tiež pre jej vydanie v rozpore so zákonom.</w:t>
      </w:r>
      <w:r w:rsidRPr="00772850">
        <w:rPr>
          <w:rFonts w:asciiTheme="minorHAnsi" w:hAnsiTheme="minorHAnsi" w:cs="Arial"/>
          <w:sz w:val="20"/>
          <w:szCs w:val="20"/>
        </w:rPr>
        <w:t xml:space="preserve"> Tvorbu a vydanie právneho predpisu upravuje Zákon č. 400/2015 Z.z., nie § </w:t>
      </w:r>
      <w:r w:rsidRPr="00772850">
        <w:rPr>
          <w:rFonts w:asciiTheme="minorHAnsi" w:hAnsiTheme="minorHAnsi" w:cs="Arial"/>
          <w:sz w:val="20"/>
          <w:szCs w:val="20"/>
        </w:rPr>
        <w:lastRenderedPageBreak/>
        <w:t>59b Zák. č. 355/2007 Z.z.  S poukazom na uvedené je predmetná vyhláška vydaná podľa § 59b Zák. č. 355/2007 Z.z. a nie podľa  Zákona č. 400/2015 Z.z.</w:t>
      </w:r>
      <w:r w:rsidRPr="00772850">
        <w:rPr>
          <w:rStyle w:val="has-inline-color"/>
          <w:rFonts w:asciiTheme="minorHAnsi" w:hAnsiTheme="minorHAnsi" w:cs="Arial"/>
          <w:sz w:val="20"/>
          <w:szCs w:val="20"/>
        </w:rPr>
        <w:t> </w:t>
      </w:r>
      <w:r w:rsidRPr="00772850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NULITNÁ</w:t>
      </w:r>
      <w:r w:rsidRPr="00772850">
        <w:rPr>
          <w:rFonts w:asciiTheme="minorHAnsi" w:hAnsiTheme="minorHAnsi" w:cs="Arial"/>
          <w:sz w:val="20"/>
          <w:szCs w:val="20"/>
          <w:u w:val="single"/>
        </w:rPr>
        <w:t> pre dôvod jej legislatívneho vydania v rozpore so zákonom.</w:t>
      </w:r>
      <w:r w:rsidRPr="00772850">
        <w:rPr>
          <w:rFonts w:asciiTheme="minorHAnsi" w:hAnsiTheme="minorHAnsi" w:cs="Arial"/>
          <w:sz w:val="20"/>
          <w:szCs w:val="20"/>
        </w:rPr>
        <w:t xml:space="preserve">  </w:t>
      </w:r>
    </w:p>
    <w:p w:rsidR="00772850" w:rsidRPr="00772850" w:rsidRDefault="00772850" w:rsidP="00B62B31">
      <w:pPr>
        <w:pStyle w:val="Odsekzoznamu"/>
        <w:numPr>
          <w:ilvl w:val="1"/>
          <w:numId w:val="1"/>
        </w:numPr>
        <w:shd w:val="clear" w:color="auto" w:fill="FFFFFF"/>
        <w:spacing w:after="0"/>
        <w:ind w:left="1134"/>
        <w:jc w:val="both"/>
        <w:rPr>
          <w:rFonts w:cs="Arial"/>
          <w:sz w:val="20"/>
          <w:szCs w:val="20"/>
          <w:u w:val="single"/>
        </w:rPr>
      </w:pPr>
      <w:r w:rsidRPr="00772850">
        <w:rPr>
          <w:rFonts w:cs="Arial"/>
          <w:sz w:val="20"/>
          <w:szCs w:val="20"/>
        </w:rPr>
        <w:t xml:space="preserve">Predmetná vyhláška je </w:t>
      </w:r>
      <w:r w:rsidRPr="00772850">
        <w:rPr>
          <w:rFonts w:cs="Arial"/>
          <w:sz w:val="20"/>
          <w:szCs w:val="20"/>
          <w:u w:val="single"/>
        </w:rPr>
        <w:t>navyše vydaná podľa </w:t>
      </w:r>
      <w:r w:rsidRPr="00772850">
        <w:rPr>
          <w:rStyle w:val="Siln"/>
          <w:rFonts w:cs="Arial"/>
          <w:b w:val="0"/>
          <w:sz w:val="20"/>
          <w:szCs w:val="20"/>
          <w:u w:val="single"/>
        </w:rPr>
        <w:t>§ 48 ods. 4 písm. r)</w:t>
      </w:r>
      <w:r w:rsidRPr="00772850">
        <w:rPr>
          <w:rStyle w:val="Siln"/>
          <w:rFonts w:cs="Arial"/>
          <w:sz w:val="20"/>
          <w:szCs w:val="20"/>
          <w:u w:val="single"/>
        </w:rPr>
        <w:t> </w:t>
      </w:r>
      <w:r w:rsidRPr="00772850">
        <w:rPr>
          <w:rFonts w:cs="Arial"/>
          <w:sz w:val="20"/>
          <w:szCs w:val="20"/>
          <w:u w:val="single"/>
        </w:rPr>
        <w:t xml:space="preserve">Zákona č. 355/2007 </w:t>
      </w:r>
      <w:proofErr w:type="spellStart"/>
      <w:r w:rsidRPr="00772850">
        <w:rPr>
          <w:rFonts w:cs="Arial"/>
          <w:sz w:val="20"/>
          <w:szCs w:val="20"/>
          <w:u w:val="single"/>
        </w:rPr>
        <w:t>Z.z</w:t>
      </w:r>
      <w:proofErr w:type="spellEnd"/>
      <w:r w:rsidRPr="00772850">
        <w:rPr>
          <w:rFonts w:cs="Arial"/>
          <w:sz w:val="20"/>
          <w:szCs w:val="20"/>
        </w:rPr>
        <w:t xml:space="preserve">. Označený paragraf </w:t>
      </w:r>
      <w:r w:rsidRPr="00772850">
        <w:rPr>
          <w:rFonts w:cs="Arial"/>
          <w:sz w:val="20"/>
          <w:szCs w:val="20"/>
          <w:u w:val="single"/>
        </w:rPr>
        <w:t xml:space="preserve">hovorí: </w:t>
      </w:r>
      <w:r w:rsidRPr="00772850">
        <w:rPr>
          <w:rStyle w:val="Zvraznenie"/>
          <w:rFonts w:cs="Arial"/>
          <w:sz w:val="20"/>
          <w:szCs w:val="20"/>
          <w:u w:val="single"/>
        </w:rPr>
        <w:t>„ÚVZ vydáva opatrenie na </w:t>
      </w:r>
      <w:r w:rsidRPr="00772850">
        <w:rPr>
          <w:rStyle w:val="Siln"/>
          <w:rFonts w:cs="Arial"/>
          <w:b w:val="0"/>
          <w:i/>
          <w:iCs/>
          <w:sz w:val="20"/>
          <w:szCs w:val="20"/>
          <w:u w:val="single"/>
        </w:rPr>
        <w:t>po</w:t>
      </w:r>
      <w:r w:rsidRPr="00772850">
        <w:rPr>
          <w:rStyle w:val="Zvraznenie"/>
          <w:rFonts w:cs="Arial"/>
          <w:sz w:val="20"/>
          <w:szCs w:val="20"/>
          <w:u w:val="single"/>
        </w:rPr>
        <w:t xml:space="preserve">užívanie preventívnych a iných ochranných pomôcok“, </w:t>
      </w:r>
      <w:r w:rsidRPr="00772850">
        <w:rPr>
          <w:rStyle w:val="Zvraznenie"/>
          <w:rFonts w:cs="Arial"/>
          <w:i w:val="0"/>
          <w:sz w:val="20"/>
          <w:szCs w:val="20"/>
          <w:u w:val="single"/>
        </w:rPr>
        <w:t>presne</w:t>
      </w:r>
      <w:r w:rsidRPr="00772850">
        <w:rPr>
          <w:rStyle w:val="Zvraznenie"/>
          <w:rFonts w:cs="Arial"/>
          <w:sz w:val="20"/>
          <w:szCs w:val="20"/>
          <w:u w:val="single"/>
        </w:rPr>
        <w:t xml:space="preserve"> </w:t>
      </w:r>
      <w:r w:rsidRPr="00772850">
        <w:rPr>
          <w:rFonts w:cs="Arial"/>
          <w:sz w:val="20"/>
          <w:szCs w:val="20"/>
          <w:u w:val="single"/>
        </w:rPr>
        <w:t>však nevymedzuje čo sú to preventívne a čo ochranné pomôcky.</w:t>
      </w:r>
      <w:r w:rsidRPr="00772850">
        <w:rPr>
          <w:rFonts w:cs="Arial"/>
          <w:sz w:val="20"/>
          <w:szCs w:val="20"/>
        </w:rPr>
        <w:t xml:space="preserve"> Podľa takto neurčito vymedzeného pojmu zákonného ustanovenia (čo však tvorba zákonov nedovoľuje), môže nimi zdanlivo byť akákoľvek, </w:t>
      </w:r>
      <w:proofErr w:type="spellStart"/>
      <w:r w:rsidRPr="00772850">
        <w:rPr>
          <w:rFonts w:cs="Arial"/>
          <w:sz w:val="20"/>
          <w:szCs w:val="20"/>
        </w:rPr>
        <w:t>nariaďovateľom</w:t>
      </w:r>
      <w:proofErr w:type="spellEnd"/>
      <w:r w:rsidRPr="00772850">
        <w:rPr>
          <w:rFonts w:cs="Arial"/>
          <w:sz w:val="20"/>
          <w:szCs w:val="20"/>
        </w:rPr>
        <w:t xml:space="preserve"> vymyslená nehumánna vec, teda aj prekážka v dýchaní, ktorou sa obmedzuje dýchanie. </w:t>
      </w:r>
      <w:r w:rsidRPr="00772850">
        <w:rPr>
          <w:rFonts w:cs="Arial"/>
          <w:sz w:val="20"/>
          <w:szCs w:val="20"/>
          <w:u w:val="single"/>
        </w:rPr>
        <w:t>„</w:t>
      </w:r>
      <w:r w:rsidRPr="00772850">
        <w:rPr>
          <w:rFonts w:cs="Arial"/>
          <w:i/>
          <w:sz w:val="20"/>
          <w:szCs w:val="20"/>
          <w:u w:val="single"/>
        </w:rPr>
        <w:t>Pomôckou</w:t>
      </w:r>
      <w:r w:rsidRPr="00772850">
        <w:rPr>
          <w:rFonts w:cs="Arial"/>
          <w:sz w:val="20"/>
          <w:szCs w:val="20"/>
          <w:u w:val="single"/>
        </w:rPr>
        <w:t xml:space="preserve">“ jednoznačne nemôže byť vec (prekážka v dýchaní - </w:t>
      </w:r>
      <w:proofErr w:type="spellStart"/>
      <w:r w:rsidRPr="00772850">
        <w:rPr>
          <w:rStyle w:val="Zvraznenie"/>
          <w:rFonts w:cs="Arial"/>
          <w:i w:val="0"/>
          <w:sz w:val="20"/>
          <w:szCs w:val="20"/>
          <w:u w:val="single"/>
        </w:rPr>
        <w:t>de</w:t>
      </w:r>
      <w:proofErr w:type="spellEnd"/>
      <w:r w:rsidRPr="00772850">
        <w:rPr>
          <w:rStyle w:val="Zvraznenie"/>
          <w:rFonts w:cs="Arial"/>
          <w:i w:val="0"/>
          <w:sz w:val="20"/>
          <w:szCs w:val="20"/>
          <w:u w:val="single"/>
        </w:rPr>
        <w:t xml:space="preserve"> facto</w:t>
      </w:r>
      <w:r w:rsidRPr="00772850">
        <w:rPr>
          <w:rFonts w:cs="Arial"/>
          <w:sz w:val="20"/>
          <w:szCs w:val="20"/>
          <w:u w:val="single"/>
        </w:rPr>
        <w:t> mučiaci nástroj), ktorou sa obmedzuje dýchanie, pod ktorou sa človek dusí, má mučivé bolesti hlavy, trpí stratou koncentrácie alebo stratou pozornosti, má fóbie alebo závraty, teda prežíva fyzické a duševné utrpenie.</w:t>
      </w:r>
      <w:r w:rsidRPr="00772850">
        <w:rPr>
          <w:rFonts w:cs="Arial"/>
          <w:sz w:val="20"/>
          <w:szCs w:val="20"/>
        </w:rPr>
        <w:t xml:space="preserve"> </w:t>
      </w:r>
      <w:r w:rsidRPr="00772850">
        <w:rPr>
          <w:rFonts w:cs="Arial"/>
          <w:sz w:val="20"/>
          <w:szCs w:val="20"/>
          <w:u w:val="single"/>
        </w:rPr>
        <w:t>Označený paragraf tak</w:t>
      </w:r>
      <w:r w:rsidRPr="00772850">
        <w:rPr>
          <w:rFonts w:cs="Arial"/>
          <w:sz w:val="20"/>
          <w:szCs w:val="20"/>
        </w:rPr>
        <w:t xml:space="preserve"> nehovorí „</w:t>
      </w:r>
      <w:r w:rsidRPr="00772850">
        <w:rPr>
          <w:rFonts w:cs="Arial"/>
          <w:i/>
          <w:sz w:val="20"/>
          <w:szCs w:val="20"/>
        </w:rPr>
        <w:t>o</w:t>
      </w:r>
      <w:r w:rsidRPr="00772850">
        <w:rPr>
          <w:rStyle w:val="Siln"/>
          <w:rFonts w:cs="Arial"/>
          <w:i/>
          <w:sz w:val="20"/>
          <w:szCs w:val="20"/>
        </w:rPr>
        <w:t> </w:t>
      </w:r>
      <w:r w:rsidRPr="00772850">
        <w:rPr>
          <w:rStyle w:val="Siln"/>
          <w:rFonts w:cs="Arial"/>
          <w:b w:val="0"/>
          <w:i/>
          <w:sz w:val="20"/>
          <w:szCs w:val="20"/>
        </w:rPr>
        <w:t>povinnosti</w:t>
      </w:r>
      <w:r w:rsidRPr="00772850">
        <w:rPr>
          <w:rStyle w:val="Siln"/>
          <w:rFonts w:cs="Arial"/>
          <w:b w:val="0"/>
          <w:sz w:val="20"/>
          <w:szCs w:val="20"/>
        </w:rPr>
        <w:t xml:space="preserve"> </w:t>
      </w:r>
      <w:r w:rsidRPr="00772850">
        <w:rPr>
          <w:rStyle w:val="Siln"/>
          <w:rFonts w:cs="Arial"/>
          <w:b w:val="0"/>
          <w:i/>
          <w:sz w:val="20"/>
          <w:szCs w:val="20"/>
        </w:rPr>
        <w:t>prekrývania horných dýchacích ciest</w:t>
      </w:r>
      <w:r w:rsidRPr="00772850">
        <w:rPr>
          <w:rStyle w:val="Siln"/>
          <w:rFonts w:cs="Arial"/>
          <w:b w:val="0"/>
          <w:sz w:val="20"/>
          <w:szCs w:val="20"/>
        </w:rPr>
        <w:t>“</w:t>
      </w:r>
      <w:r w:rsidRPr="00772850">
        <w:rPr>
          <w:rStyle w:val="Siln"/>
          <w:rFonts w:cs="Arial"/>
          <w:sz w:val="20"/>
          <w:szCs w:val="20"/>
        </w:rPr>
        <w:t xml:space="preserve">, </w:t>
      </w:r>
      <w:r w:rsidRPr="00772850">
        <w:rPr>
          <w:rStyle w:val="Siln"/>
          <w:rFonts w:cs="Arial"/>
          <w:b w:val="0"/>
          <w:sz w:val="20"/>
          <w:szCs w:val="20"/>
        </w:rPr>
        <w:t>a</w:t>
      </w:r>
      <w:r w:rsidRPr="00772850">
        <w:rPr>
          <w:rFonts w:cs="Arial"/>
          <w:sz w:val="20"/>
          <w:szCs w:val="20"/>
        </w:rPr>
        <w:t xml:space="preserve">le ako je uvedené vyššie </w:t>
      </w:r>
      <w:r w:rsidRPr="00772850">
        <w:rPr>
          <w:rFonts w:cs="Arial"/>
          <w:sz w:val="20"/>
          <w:szCs w:val="20"/>
          <w:u w:val="single"/>
        </w:rPr>
        <w:t>hovorí „</w:t>
      </w:r>
      <w:r w:rsidRPr="00772850">
        <w:rPr>
          <w:rFonts w:cs="Arial"/>
          <w:i/>
          <w:sz w:val="20"/>
          <w:szCs w:val="20"/>
          <w:u w:val="single"/>
        </w:rPr>
        <w:t>o používaní preventívnych a iných ochranných pomôcok</w:t>
      </w:r>
      <w:r w:rsidRPr="00772850">
        <w:rPr>
          <w:rFonts w:cs="Arial"/>
          <w:sz w:val="20"/>
          <w:szCs w:val="20"/>
          <w:u w:val="single"/>
        </w:rPr>
        <w:t xml:space="preserve">“. </w:t>
      </w:r>
      <w:r w:rsidRPr="00772850">
        <w:rPr>
          <w:rFonts w:cs="Arial"/>
          <w:sz w:val="20"/>
          <w:szCs w:val="20"/>
        </w:rPr>
        <w:t xml:space="preserve">Predmetná vyhláška je tak súčasne v rozpore s § 4 ods. 1 Zák. č. 400/2015 </w:t>
      </w:r>
      <w:proofErr w:type="spellStart"/>
      <w:r w:rsidRPr="00772850">
        <w:rPr>
          <w:rFonts w:cs="Arial"/>
          <w:sz w:val="20"/>
          <w:szCs w:val="20"/>
        </w:rPr>
        <w:t>Z.z</w:t>
      </w:r>
      <w:proofErr w:type="spellEnd"/>
      <w:r w:rsidRPr="00772850">
        <w:rPr>
          <w:rFonts w:cs="Arial"/>
          <w:sz w:val="20"/>
          <w:szCs w:val="20"/>
        </w:rPr>
        <w:t>. Právny predpis musí byť stručný, </w:t>
      </w:r>
      <w:r w:rsidRPr="00772850">
        <w:rPr>
          <w:rStyle w:val="has-inline-color"/>
          <w:rFonts w:cs="Arial"/>
          <w:bCs/>
          <w:sz w:val="20"/>
          <w:szCs w:val="20"/>
        </w:rPr>
        <w:t xml:space="preserve">vnútorne </w:t>
      </w:r>
      <w:proofErr w:type="spellStart"/>
      <w:r w:rsidRPr="00772850">
        <w:rPr>
          <w:rStyle w:val="has-inline-color"/>
          <w:rFonts w:cs="Arial"/>
          <w:bCs/>
          <w:sz w:val="20"/>
          <w:szCs w:val="20"/>
        </w:rPr>
        <w:t>bezrozporný</w:t>
      </w:r>
      <w:proofErr w:type="spellEnd"/>
      <w:r w:rsidRPr="00772850">
        <w:rPr>
          <w:rFonts w:cs="Arial"/>
          <w:sz w:val="20"/>
          <w:szCs w:val="20"/>
        </w:rPr>
        <w:t> a musí obsahovať ustanovenia s normatívnym obsahom, ktoré sú systematicky a obsahovo vzájomne previazané. </w:t>
      </w:r>
    </w:p>
    <w:p w:rsidR="00772850" w:rsidRPr="00772850" w:rsidRDefault="00772850" w:rsidP="00B62B31">
      <w:pPr>
        <w:ind w:left="708" w:firstLine="1"/>
        <w:jc w:val="both"/>
        <w:rPr>
          <w:rStyle w:val="has-inline-color"/>
          <w:rFonts w:cs="Arial"/>
          <w:bCs/>
          <w:caps/>
          <w:sz w:val="20"/>
          <w:szCs w:val="20"/>
          <w:shd w:val="clear" w:color="auto" w:fill="FFFFFF"/>
        </w:rPr>
      </w:pPr>
      <w:r w:rsidRPr="00772850">
        <w:rPr>
          <w:rFonts w:cs="Arial"/>
          <w:caps/>
          <w:color w:val="333333"/>
          <w:sz w:val="20"/>
          <w:szCs w:val="20"/>
          <w:shd w:val="clear" w:color="auto" w:fill="FFFFFF"/>
        </w:rPr>
        <w:t xml:space="preserve">S poukazom na NULITU predmetnej </w:t>
      </w:r>
      <w:r w:rsidRPr="00772850">
        <w:rPr>
          <w:caps/>
          <w:sz w:val="20"/>
          <w:szCs w:val="20"/>
        </w:rPr>
        <w:t>Vyhlášky  Úradu verejného zdravotníctva Slovenskej republiky č. 11/2020</w:t>
      </w:r>
      <w:r w:rsidRPr="00772850">
        <w:rPr>
          <w:rFonts w:cs="Arial"/>
          <w:caps/>
          <w:color w:val="333333"/>
          <w:sz w:val="20"/>
          <w:szCs w:val="20"/>
          <w:shd w:val="clear" w:color="auto" w:fill="FFFFFF"/>
        </w:rPr>
        <w:t>, a to titulom už jej </w:t>
      </w:r>
      <w:r w:rsidRPr="00772850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formálnych</w:t>
      </w:r>
      <w:r w:rsidRPr="00772850">
        <w:rPr>
          <w:rFonts w:cs="Arial"/>
          <w:i/>
          <w:caps/>
          <w:color w:val="333333"/>
          <w:sz w:val="20"/>
          <w:szCs w:val="20"/>
          <w:shd w:val="clear" w:color="auto" w:fill="FFFFFF"/>
        </w:rPr>
        <w:t> </w:t>
      </w:r>
      <w:r w:rsidRPr="00772850">
        <w:rPr>
          <w:rFonts w:cs="Arial"/>
          <w:caps/>
          <w:color w:val="333333"/>
          <w:sz w:val="20"/>
          <w:szCs w:val="20"/>
          <w:shd w:val="clear" w:color="auto" w:fill="FFFFFF"/>
        </w:rPr>
        <w:t>nedostatkov právnej formy aktu, a tiež titulom jej </w:t>
      </w:r>
      <w:r w:rsidRPr="00772850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vecného</w:t>
      </w:r>
      <w:r w:rsidRPr="00772850">
        <w:rPr>
          <w:rFonts w:cs="Arial"/>
          <w:caps/>
          <w:color w:val="333333"/>
          <w:sz w:val="20"/>
          <w:szCs w:val="20"/>
          <w:shd w:val="clear" w:color="auto" w:fill="FFFFFF"/>
        </w:rPr>
        <w:t> nedostatku </w:t>
      </w:r>
      <w:r w:rsidRPr="00772850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právneho</w:t>
      </w:r>
      <w:r w:rsidRPr="00772850">
        <w:rPr>
          <w:rFonts w:cs="Arial"/>
          <w:caps/>
          <w:color w:val="333333"/>
          <w:sz w:val="20"/>
          <w:szCs w:val="20"/>
          <w:shd w:val="clear" w:color="auto" w:fill="FFFFFF"/>
        </w:rPr>
        <w:t xml:space="preserve"> nezmyslu </w:t>
      </w:r>
      <w:r w:rsidRPr="00772850">
        <w:rPr>
          <w:rStyle w:val="has-inline-color"/>
          <w:rFonts w:cs="Arial"/>
          <w:bCs/>
          <w:caps/>
          <w:sz w:val="20"/>
          <w:szCs w:val="20"/>
          <w:shd w:val="clear" w:color="auto" w:fill="FFFFFF"/>
        </w:rPr>
        <w:t>nie je daná právna povinnosť prekrývania si dýchacích ciest prekážkou v dýchaní.</w:t>
      </w:r>
    </w:p>
    <w:p w:rsidR="00476159" w:rsidRPr="006958B7" w:rsidRDefault="006958B7" w:rsidP="00B62B31">
      <w:pPr>
        <w:shd w:val="clear" w:color="auto" w:fill="FFFFFF"/>
        <w:spacing w:after="0"/>
        <w:contextualSpacing/>
        <w:jc w:val="both"/>
        <w:rPr>
          <w:rFonts w:eastAsia="Times New Roman" w:cs="Segoe UI"/>
          <w:bCs/>
          <w:sz w:val="20"/>
          <w:szCs w:val="20"/>
          <w:lang w:val="it-IT" w:eastAsia="it-IT"/>
        </w:rPr>
      </w:pPr>
      <w:r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Mám za to, že</w:t>
      </w:r>
      <w:r w:rsidR="00DB6D81" w:rsidRPr="006958B7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</w:t>
      </w:r>
      <w:r w:rsidR="00E40E27" w:rsidRPr="006958B7">
        <w:rPr>
          <w:rFonts w:eastAsia="Times New Roman" w:cs="Times New Roman"/>
          <w:bCs/>
          <w:sz w:val="20"/>
          <w:szCs w:val="20"/>
          <w:lang w:val="it-IT" w:eastAsia="it-IT"/>
        </w:rPr>
        <w:t xml:space="preserve">mnohonásobne opakované vynucovanie prekrývania si horných dýchacích ciest prekážkou v dýchaní, ktorého sme v súčasnosti svedkami, navyše podporované politikou štátu, tak predstavuje rozsiahly a systematický </w:t>
      </w:r>
      <w:r w:rsidR="00E40E27" w:rsidRPr="006958B7">
        <w:rPr>
          <w:rFonts w:cs="Arial"/>
          <w:sz w:val="20"/>
          <w:szCs w:val="20"/>
          <w:shd w:val="clear" w:color="auto" w:fill="FFFFFF"/>
        </w:rPr>
        <w:t xml:space="preserve">útok namierený proti civilnému obyvateľstvu Slovenskej republiky. Pritom platí, že </w:t>
      </w:r>
      <w:r w:rsidR="00E40E27" w:rsidRPr="006958B7">
        <w:rPr>
          <w:rFonts w:cs="Arial"/>
          <w:sz w:val="20"/>
          <w:szCs w:val="20"/>
          <w:u w:val="single"/>
          <w:shd w:val="clear" w:color="auto" w:fill="FFFFFF"/>
        </w:rPr>
        <w:t>k</w:t>
      </w:r>
      <w:r w:rsidR="00E40E27" w:rsidRPr="006958B7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to sa dopustí alebo sa podieľa na takomto čine, okrem trestného činu </w:t>
      </w:r>
      <w:r w:rsidR="00E40E27" w:rsidRPr="006958B7">
        <w:rPr>
          <w:sz w:val="20"/>
          <w:szCs w:val="20"/>
          <w:u w:val="single"/>
        </w:rPr>
        <w:t>m</w:t>
      </w:r>
      <w:r w:rsidR="00E40E27" w:rsidRPr="006958B7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učenia a iného neľudského alebo krutého zaobchádzania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(§ 420 </w:t>
      </w:r>
      <w:r w:rsidR="00421A23" w:rsidRPr="006958B7">
        <w:rPr>
          <w:rFonts w:eastAsia="Times New Roman" w:cs="Segoe UI"/>
          <w:bCs/>
          <w:sz w:val="20"/>
          <w:szCs w:val="20"/>
          <w:lang w:val="it-IT" w:eastAsia="it-IT"/>
        </w:rPr>
        <w:t>TZ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>) sa dopúšťa podľa § 425, písm e)</w:t>
      </w:r>
      <w:r w:rsidR="00421A23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TZ 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</w:t>
      </w:r>
      <w:r w:rsidR="00E40E27" w:rsidRPr="006958B7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aj trestného činu neľudskosti. Mám za to, že uplatňovaním sociálnej segregáci</w:t>
      </w:r>
      <w:r>
        <w:rPr>
          <w:rFonts w:eastAsia="Times New Roman" w:cs="Segoe UI"/>
          <w:bCs/>
          <w:sz w:val="20"/>
          <w:szCs w:val="20"/>
          <w:u w:val="single"/>
          <w:lang w:val="it-IT" w:eastAsia="it-IT"/>
        </w:rPr>
        <w:t>e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(napr. odmietnutie vpustenia na pracovisko, neposkytnutie zdravotnej starostlivosti, neobslúženie v obchode alebo neposkytnutie služby na úrade, v banke...) </w:t>
      </w:r>
      <w:r w:rsidR="00E40E27" w:rsidRPr="006958B7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z dôvodu uplatňovania nutnej obrany, teda z dôvodu odmietnutia </w:t>
      </w:r>
      <w:r w:rsidR="00E40E27" w:rsidRPr="006958B7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vynucovania prekrývania si horných dýchacích ciest prekážkou v dýchaní tak</w:t>
      </w:r>
      <w:r w:rsidR="00E40E27" w:rsidRPr="006958B7">
        <w:rPr>
          <w:rFonts w:eastAsia="Times New Roman" w:cs="Times New Roman"/>
          <w:bCs/>
          <w:sz w:val="20"/>
          <w:szCs w:val="20"/>
          <w:lang w:val="it-IT" w:eastAsia="it-IT"/>
        </w:rPr>
        <w:t xml:space="preserve"> podľa 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>§ 424</w:t>
      </w:r>
      <w:r w:rsidR="00C22026" w:rsidRPr="006958B7">
        <w:rPr>
          <w:rFonts w:eastAsia="Times New Roman" w:cs="Segoe UI"/>
          <w:bCs/>
          <w:sz w:val="20"/>
          <w:szCs w:val="20"/>
          <w:lang w:val="it-IT" w:eastAsia="it-IT"/>
        </w:rPr>
        <w:t>a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</w:t>
      </w:r>
      <w:r w:rsidR="00421A23" w:rsidRPr="006958B7">
        <w:rPr>
          <w:rFonts w:eastAsia="Times New Roman" w:cs="Segoe UI"/>
          <w:bCs/>
          <w:sz w:val="20"/>
          <w:szCs w:val="20"/>
          <w:lang w:val="it-IT" w:eastAsia="it-IT"/>
        </w:rPr>
        <w:t>TZ</w:t>
      </w:r>
      <w:r w:rsidR="00E40E27" w:rsidRPr="006958B7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E40E27" w:rsidRPr="006958B7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predstavuje aj trestný čin apatheidu a diskriminácie skupiny osôb</w:t>
      </w:r>
      <w:r w:rsidR="00E40E27" w:rsidRPr="006958B7">
        <w:rPr>
          <w:rFonts w:eastAsia="Times New Roman" w:cs="Times New Roman"/>
          <w:bCs/>
          <w:sz w:val="20"/>
          <w:szCs w:val="20"/>
          <w:lang w:val="it-IT" w:eastAsia="it-IT"/>
        </w:rPr>
        <w:t xml:space="preserve"> a 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podľa § 425, písm g) a písm. i) </w:t>
      </w:r>
      <w:r w:rsidR="00421A23" w:rsidRPr="006958B7">
        <w:rPr>
          <w:rFonts w:eastAsia="Times New Roman" w:cs="Segoe UI"/>
          <w:bCs/>
          <w:sz w:val="20"/>
          <w:szCs w:val="20"/>
          <w:lang w:val="it-IT" w:eastAsia="it-IT"/>
        </w:rPr>
        <w:t>TZ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 </w:t>
      </w:r>
      <w:r w:rsidR="00E40E27" w:rsidRPr="006958B7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opakovane aj  </w:t>
      </w:r>
      <w:r w:rsidR="00E40E27" w:rsidRPr="006958B7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trestného činu neľudskosti</w:t>
      </w:r>
      <w:r w:rsidR="00E40E27" w:rsidRPr="006958B7">
        <w:rPr>
          <w:rFonts w:eastAsia="Times New Roman" w:cs="Segoe UI"/>
          <w:bCs/>
          <w:sz w:val="20"/>
          <w:szCs w:val="20"/>
          <w:lang w:val="it-IT" w:eastAsia="it-IT"/>
        </w:rPr>
        <w:t xml:space="preserve">.  </w:t>
      </w:r>
    </w:p>
    <w:p w:rsidR="00476159" w:rsidRPr="00DB75D6" w:rsidRDefault="00476159" w:rsidP="00B62B31">
      <w:pPr>
        <w:shd w:val="clear" w:color="auto" w:fill="FFFFFF"/>
        <w:spacing w:after="0"/>
        <w:contextualSpacing/>
        <w:jc w:val="both"/>
        <w:rPr>
          <w:rFonts w:eastAsia="Times New Roman" w:cs="Segoe UI"/>
          <w:bCs/>
          <w:caps/>
          <w:sz w:val="20"/>
          <w:szCs w:val="20"/>
          <w:lang w:val="it-IT" w:eastAsia="it-IT"/>
        </w:rPr>
      </w:pPr>
    </w:p>
    <w:p w:rsidR="004F3D1B" w:rsidRDefault="00E40E27" w:rsidP="00B62B31">
      <w:pPr>
        <w:shd w:val="clear" w:color="auto" w:fill="FFFFFF"/>
        <w:spacing w:after="0"/>
        <w:jc w:val="both"/>
        <w:rPr>
          <w:rFonts w:cs="Arial"/>
          <w:caps/>
          <w:sz w:val="20"/>
          <w:szCs w:val="20"/>
        </w:rPr>
      </w:pPr>
      <w:r w:rsidRPr="00B61F7D">
        <w:rPr>
          <w:rFonts w:cs="Arial"/>
          <w:caps/>
          <w:sz w:val="20"/>
          <w:szCs w:val="20"/>
        </w:rPr>
        <w:t>Charakter spomínaného rozsiahleho a systematického útoku namiereného proti civilnému obyvateľstvu s vedomím útoku</w:t>
      </w:r>
      <w:r w:rsidRPr="00B61F7D">
        <w:rPr>
          <w:rFonts w:cs="Segoe UI"/>
          <w:sz w:val="20"/>
          <w:szCs w:val="20"/>
        </w:rPr>
        <w:t xml:space="preserve"> vychádzajúci z</w:t>
      </w:r>
      <w:r w:rsidRPr="00B61F7D">
        <w:rPr>
          <w:rStyle w:val="has-inline-color"/>
          <w:rFonts w:cs="Arial"/>
          <w:sz w:val="20"/>
          <w:szCs w:val="20"/>
        </w:rPr>
        <w:t> </w:t>
      </w:r>
      <w:r w:rsidR="00476159" w:rsidRPr="00B61F7D">
        <w:rPr>
          <w:rStyle w:val="has-inline-color"/>
          <w:rFonts w:cs="Arial"/>
          <w:sz w:val="20"/>
          <w:szCs w:val="20"/>
        </w:rPr>
        <w:t>V</w:t>
      </w:r>
      <w:r w:rsidRPr="00B61F7D">
        <w:rPr>
          <w:rStyle w:val="has-inline-color"/>
          <w:rFonts w:cs="Arial"/>
          <w:sz w:val="20"/>
          <w:szCs w:val="20"/>
        </w:rPr>
        <w:t>yhláš</w:t>
      </w:r>
      <w:r w:rsidR="00476159" w:rsidRPr="00B61F7D">
        <w:rPr>
          <w:rStyle w:val="has-inline-color"/>
          <w:rFonts w:cs="Arial"/>
          <w:sz w:val="20"/>
          <w:szCs w:val="20"/>
        </w:rPr>
        <w:t>ky</w:t>
      </w:r>
      <w:r w:rsidRPr="00B61F7D">
        <w:rPr>
          <w:rStyle w:val="has-inline-color"/>
          <w:rFonts w:cs="Arial"/>
          <w:sz w:val="20"/>
          <w:szCs w:val="20"/>
        </w:rPr>
        <w:t xml:space="preserve"> Úradu verejného zdravotníctva   </w:t>
      </w:r>
      <w:r w:rsidR="00476159" w:rsidRPr="00B61F7D">
        <w:rPr>
          <w:rStyle w:val="has-inline-color"/>
          <w:rFonts w:cs="Arial"/>
          <w:sz w:val="20"/>
          <w:szCs w:val="20"/>
        </w:rPr>
        <w:t xml:space="preserve">č. 11/2020 </w:t>
      </w:r>
      <w:r w:rsidR="00612736" w:rsidRPr="00B61F7D">
        <w:rPr>
          <w:rStyle w:val="has-inline-color"/>
          <w:rFonts w:cs="Arial"/>
          <w:sz w:val="20"/>
          <w:szCs w:val="20"/>
        </w:rPr>
        <w:t xml:space="preserve"> </w:t>
      </w:r>
      <w:r w:rsidRPr="00B61F7D">
        <w:rPr>
          <w:rStyle w:val="has-inline-color"/>
          <w:rFonts w:cs="Arial"/>
          <w:caps/>
          <w:sz w:val="20"/>
          <w:szCs w:val="20"/>
        </w:rPr>
        <w:t xml:space="preserve">dokumentuje už množstvo opakovaných a už aj známych </w:t>
      </w:r>
      <w:r w:rsidRPr="00B61F7D">
        <w:rPr>
          <w:rFonts w:cs="Arial"/>
          <w:caps/>
          <w:sz w:val="20"/>
          <w:szCs w:val="20"/>
        </w:rPr>
        <w:t xml:space="preserve"> prípadov z územia celej Slovenskej republiky</w:t>
      </w:r>
      <w:r w:rsidR="004F3D1B">
        <w:rPr>
          <w:rFonts w:cs="Arial"/>
          <w:caps/>
          <w:sz w:val="20"/>
          <w:szCs w:val="20"/>
        </w:rPr>
        <w:t>.</w:t>
      </w:r>
    </w:p>
    <w:p w:rsidR="00E40E27" w:rsidRPr="00D971F3" w:rsidRDefault="00D971F3" w:rsidP="00B62B31">
      <w:pPr>
        <w:shd w:val="clear" w:color="auto" w:fill="FFFFFF"/>
        <w:spacing w:after="0"/>
        <w:jc w:val="both"/>
        <w:rPr>
          <w:rStyle w:val="Siln"/>
          <w:rFonts w:eastAsia="Times New Roman" w:cs="Times New Roman"/>
          <w:b w:val="0"/>
          <w:caps/>
          <w:sz w:val="20"/>
          <w:szCs w:val="20"/>
          <w:lang w:val="it-IT" w:eastAsia="it-IT"/>
        </w:rPr>
      </w:pPr>
      <w:r w:rsidRPr="00B61F7D">
        <w:rPr>
          <w:rFonts w:cs="Arial"/>
          <w:caps/>
          <w:sz w:val="20"/>
          <w:szCs w:val="20"/>
        </w:rPr>
        <w:t xml:space="preserve"> </w:t>
      </w:r>
    </w:p>
    <w:p w:rsidR="00421A23" w:rsidRPr="00DB75D6" w:rsidRDefault="00421A23" w:rsidP="0053542E">
      <w:pPr>
        <w:spacing w:after="0"/>
        <w:ind w:right="-284"/>
        <w:contextualSpacing/>
        <w:rPr>
          <w:sz w:val="20"/>
          <w:szCs w:val="20"/>
        </w:rPr>
      </w:pPr>
    </w:p>
    <w:p w:rsidR="0053542E" w:rsidRDefault="00DF425E" w:rsidP="0053542E">
      <w:pPr>
        <w:spacing w:after="0"/>
        <w:ind w:right="-284"/>
        <w:contextualSpacing/>
        <w:rPr>
          <w:sz w:val="20"/>
          <w:szCs w:val="20"/>
        </w:rPr>
      </w:pPr>
      <w:r w:rsidRPr="00DB75D6">
        <w:rPr>
          <w:sz w:val="20"/>
          <w:szCs w:val="20"/>
        </w:rPr>
        <w:t>V .............................................dňa....................................</w:t>
      </w:r>
    </w:p>
    <w:p w:rsidR="004F3D1B" w:rsidRDefault="004F3D1B" w:rsidP="0053542E">
      <w:pPr>
        <w:spacing w:after="0"/>
        <w:ind w:right="-284"/>
        <w:contextualSpacing/>
        <w:rPr>
          <w:sz w:val="20"/>
          <w:szCs w:val="20"/>
        </w:rPr>
      </w:pPr>
    </w:p>
    <w:p w:rsidR="004F3D1B" w:rsidRDefault="004F3D1B" w:rsidP="0053542E">
      <w:pPr>
        <w:spacing w:after="0"/>
        <w:ind w:right="-284"/>
        <w:contextualSpacing/>
        <w:rPr>
          <w:sz w:val="20"/>
          <w:szCs w:val="20"/>
        </w:rPr>
      </w:pPr>
    </w:p>
    <w:p w:rsidR="00DF425E" w:rsidRPr="00DB75D6" w:rsidRDefault="00DF425E" w:rsidP="00B62B31">
      <w:pPr>
        <w:spacing w:after="0"/>
        <w:contextualSpacing/>
        <w:rPr>
          <w:sz w:val="20"/>
          <w:szCs w:val="20"/>
        </w:rPr>
      </w:pPr>
      <w:r w:rsidRPr="00DB75D6">
        <w:rPr>
          <w:sz w:val="20"/>
          <w:szCs w:val="20"/>
        </w:rPr>
        <w:t xml:space="preserve">   </w:t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</w:r>
      <w:r w:rsidR="0053542E">
        <w:rPr>
          <w:sz w:val="20"/>
          <w:szCs w:val="20"/>
        </w:rPr>
        <w:tab/>
        <w:t xml:space="preserve">   </w:t>
      </w:r>
      <w:r w:rsidRPr="00DB75D6">
        <w:rPr>
          <w:sz w:val="20"/>
          <w:szCs w:val="20"/>
        </w:rPr>
        <w:t xml:space="preserve"> ____________________________</w:t>
      </w:r>
    </w:p>
    <w:p w:rsidR="00DF425E" w:rsidRPr="00DB75D6" w:rsidRDefault="00DF425E" w:rsidP="0053542E">
      <w:pPr>
        <w:spacing w:after="0"/>
        <w:ind w:left="4956" w:right="-284" w:firstLine="709"/>
        <w:contextualSpacing/>
        <w:rPr>
          <w:sz w:val="20"/>
          <w:szCs w:val="20"/>
        </w:rPr>
      </w:pPr>
      <w:r w:rsidRPr="00DB75D6">
        <w:rPr>
          <w:sz w:val="20"/>
          <w:szCs w:val="20"/>
        </w:rPr>
        <w:t xml:space="preserve">           meno, priezvisko, podpis</w:t>
      </w:r>
    </w:p>
    <w:sectPr w:rsidR="00DF425E" w:rsidRPr="00DB75D6" w:rsidSect="00B62B31">
      <w:headerReference w:type="default" r:id="rId8"/>
      <w:foot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F9D" w:rsidRDefault="00CA4F9D" w:rsidP="00DF425E">
      <w:pPr>
        <w:spacing w:after="0" w:line="240" w:lineRule="auto"/>
      </w:pPr>
      <w:r>
        <w:separator/>
      </w:r>
    </w:p>
  </w:endnote>
  <w:endnote w:type="continuationSeparator" w:id="0">
    <w:p w:rsidR="00CA4F9D" w:rsidRDefault="00CA4F9D" w:rsidP="00DF4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1437822"/>
      <w:docPartObj>
        <w:docPartGallery w:val="Page Numbers (Bottom of Page)"/>
        <w:docPartUnique/>
      </w:docPartObj>
    </w:sdtPr>
    <w:sdtEndPr/>
    <w:sdtContent>
      <w:p w:rsidR="00DF425E" w:rsidRDefault="00DF425E">
        <w:pPr>
          <w:pStyle w:val="Pta"/>
          <w:jc w:val="center"/>
        </w:pPr>
        <w:r>
          <w:rPr>
            <w:noProof/>
            <w:lang w:val="it-IT" w:eastAsia="it-IT"/>
          </w:rPr>
          <mc:AlternateContent>
            <mc:Choice Requires="wpg">
              <w:drawing>
                <wp:inline distT="0" distB="0" distL="0" distR="0" wp14:anchorId="12317D0C" wp14:editId="0F96FEB8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F425E" w:rsidRDefault="00DF425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F909F7" w:rsidRPr="00F909F7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7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DF425E" w:rsidRDefault="00DF425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F909F7" w:rsidRPr="00F909F7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8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29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0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1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DF425E" w:rsidRDefault="00DF425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F9D" w:rsidRDefault="00CA4F9D" w:rsidP="00DF425E">
      <w:pPr>
        <w:spacing w:after="0" w:line="240" w:lineRule="auto"/>
      </w:pPr>
      <w:r>
        <w:separator/>
      </w:r>
    </w:p>
  </w:footnote>
  <w:footnote w:type="continuationSeparator" w:id="0">
    <w:p w:rsidR="00CA4F9D" w:rsidRDefault="00CA4F9D" w:rsidP="00DF42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59" w:rsidRPr="00DF425E" w:rsidRDefault="00476159" w:rsidP="00476159">
    <w:pPr>
      <w:shd w:val="clear" w:color="auto" w:fill="FFFFFF"/>
      <w:spacing w:after="0"/>
      <w:contextualSpacing/>
      <w:jc w:val="center"/>
      <w:textAlignment w:val="baseline"/>
      <w:rPr>
        <w:rFonts w:eastAsia="Times New Roman" w:cs="Times New Roman"/>
        <w:b/>
        <w:bCs/>
        <w:caps/>
        <w:lang w:val="it-IT" w:eastAsia="it-IT"/>
      </w:rPr>
    </w:pPr>
    <w:r w:rsidRPr="00DF425E">
      <w:rPr>
        <w:rFonts w:eastAsia="Times New Roman" w:cs="Times New Roman"/>
        <w:b/>
        <w:bCs/>
        <w:caps/>
        <w:lang w:val="it-IT" w:eastAsia="it-IT"/>
      </w:rPr>
      <w:t xml:space="preserve">informácie </w:t>
    </w:r>
    <w:r w:rsidR="00E64EDE">
      <w:rPr>
        <w:rFonts w:eastAsia="Times New Roman" w:cs="Times New Roman"/>
        <w:b/>
        <w:bCs/>
        <w:caps/>
        <w:lang w:val="it-IT" w:eastAsia="it-IT"/>
      </w:rPr>
      <w:t>Pre poskytovateľov tovarov a služieb</w:t>
    </w:r>
    <w:r>
      <w:rPr>
        <w:rFonts w:eastAsia="Times New Roman" w:cs="Times New Roman"/>
        <w:b/>
        <w:bCs/>
        <w:caps/>
        <w:lang w:val="it-IT" w:eastAsia="it-IT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107A"/>
    <w:multiLevelType w:val="hybridMultilevel"/>
    <w:tmpl w:val="A54E52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60375"/>
    <w:multiLevelType w:val="multilevel"/>
    <w:tmpl w:val="791A6DAE"/>
    <w:lvl w:ilvl="0">
      <w:start w:val="1"/>
      <w:numFmt w:val="decimal"/>
      <w:lvlText w:val="2.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0414DCF"/>
    <w:multiLevelType w:val="hybridMultilevel"/>
    <w:tmpl w:val="A6A452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6064F"/>
    <w:multiLevelType w:val="hybridMultilevel"/>
    <w:tmpl w:val="4D589E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34BB4"/>
    <w:multiLevelType w:val="hybridMultilevel"/>
    <w:tmpl w:val="FDA07A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D184C"/>
    <w:multiLevelType w:val="multilevel"/>
    <w:tmpl w:val="919EE056"/>
    <w:lvl w:ilvl="0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BA47278"/>
    <w:multiLevelType w:val="hybridMultilevel"/>
    <w:tmpl w:val="827E9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532075"/>
    <w:multiLevelType w:val="hybridMultilevel"/>
    <w:tmpl w:val="6D5CF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C509E3"/>
    <w:multiLevelType w:val="hybridMultilevel"/>
    <w:tmpl w:val="76C0FEA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49734BF"/>
    <w:multiLevelType w:val="hybridMultilevel"/>
    <w:tmpl w:val="9C1A20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BE6629"/>
    <w:multiLevelType w:val="hybridMultilevel"/>
    <w:tmpl w:val="18D4E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F97833"/>
    <w:multiLevelType w:val="hybridMultilevel"/>
    <w:tmpl w:val="33A844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40641F"/>
    <w:multiLevelType w:val="multilevel"/>
    <w:tmpl w:val="919EE056"/>
    <w:lvl w:ilvl="0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98D6074"/>
    <w:multiLevelType w:val="hybridMultilevel"/>
    <w:tmpl w:val="10225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4B34E6"/>
    <w:multiLevelType w:val="hybridMultilevel"/>
    <w:tmpl w:val="4FBEBBF8"/>
    <w:lvl w:ilvl="0" w:tplc="0410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55BF5624"/>
    <w:multiLevelType w:val="hybridMultilevel"/>
    <w:tmpl w:val="EDA6A1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2E358F"/>
    <w:multiLevelType w:val="hybridMultilevel"/>
    <w:tmpl w:val="03261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194A95"/>
    <w:multiLevelType w:val="hybridMultilevel"/>
    <w:tmpl w:val="EDFEA7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5C0080"/>
    <w:multiLevelType w:val="hybridMultilevel"/>
    <w:tmpl w:val="CA60535E"/>
    <w:lvl w:ilvl="0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0A6BB6"/>
    <w:multiLevelType w:val="hybridMultilevel"/>
    <w:tmpl w:val="F8023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19"/>
  </w:num>
  <w:num w:numId="4">
    <w:abstractNumId w:val="1"/>
  </w:num>
  <w:num w:numId="5">
    <w:abstractNumId w:val="5"/>
  </w:num>
  <w:num w:numId="6">
    <w:abstractNumId w:val="12"/>
  </w:num>
  <w:num w:numId="7">
    <w:abstractNumId w:val="8"/>
  </w:num>
  <w:num w:numId="8">
    <w:abstractNumId w:val="7"/>
  </w:num>
  <w:num w:numId="9">
    <w:abstractNumId w:val="9"/>
  </w:num>
  <w:num w:numId="10">
    <w:abstractNumId w:val="15"/>
  </w:num>
  <w:num w:numId="11">
    <w:abstractNumId w:val="11"/>
  </w:num>
  <w:num w:numId="12">
    <w:abstractNumId w:val="0"/>
  </w:num>
  <w:num w:numId="13">
    <w:abstractNumId w:val="13"/>
  </w:num>
  <w:num w:numId="14">
    <w:abstractNumId w:val="10"/>
  </w:num>
  <w:num w:numId="15">
    <w:abstractNumId w:val="2"/>
  </w:num>
  <w:num w:numId="16">
    <w:abstractNumId w:val="17"/>
  </w:num>
  <w:num w:numId="17">
    <w:abstractNumId w:val="14"/>
  </w:num>
  <w:num w:numId="18">
    <w:abstractNumId w:val="3"/>
  </w:num>
  <w:num w:numId="19">
    <w:abstractNumId w:val="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7C"/>
    <w:rsid w:val="000133D4"/>
    <w:rsid w:val="0003330D"/>
    <w:rsid w:val="000718C5"/>
    <w:rsid w:val="000A68EF"/>
    <w:rsid w:val="000F6495"/>
    <w:rsid w:val="00113982"/>
    <w:rsid w:val="00116610"/>
    <w:rsid w:val="001A00B9"/>
    <w:rsid w:val="001A05E5"/>
    <w:rsid w:val="00236BD0"/>
    <w:rsid w:val="0023739E"/>
    <w:rsid w:val="00287864"/>
    <w:rsid w:val="002A5968"/>
    <w:rsid w:val="002B09D4"/>
    <w:rsid w:val="002D646E"/>
    <w:rsid w:val="003153EB"/>
    <w:rsid w:val="00355D25"/>
    <w:rsid w:val="00364A57"/>
    <w:rsid w:val="003A248A"/>
    <w:rsid w:val="003C3146"/>
    <w:rsid w:val="00421A23"/>
    <w:rsid w:val="00424BCA"/>
    <w:rsid w:val="004460D4"/>
    <w:rsid w:val="00473BEA"/>
    <w:rsid w:val="00476159"/>
    <w:rsid w:val="00493C38"/>
    <w:rsid w:val="004B1799"/>
    <w:rsid w:val="004E137F"/>
    <w:rsid w:val="004F3D1B"/>
    <w:rsid w:val="0053542E"/>
    <w:rsid w:val="005811BF"/>
    <w:rsid w:val="005B7C2F"/>
    <w:rsid w:val="005C2BCF"/>
    <w:rsid w:val="00607C2F"/>
    <w:rsid w:val="00612736"/>
    <w:rsid w:val="00663E04"/>
    <w:rsid w:val="006867CC"/>
    <w:rsid w:val="006958B7"/>
    <w:rsid w:val="00764F5C"/>
    <w:rsid w:val="00772850"/>
    <w:rsid w:val="007734DE"/>
    <w:rsid w:val="0083710B"/>
    <w:rsid w:val="008770A4"/>
    <w:rsid w:val="009331B2"/>
    <w:rsid w:val="00942237"/>
    <w:rsid w:val="0094729A"/>
    <w:rsid w:val="00962C5F"/>
    <w:rsid w:val="00974C54"/>
    <w:rsid w:val="009817EE"/>
    <w:rsid w:val="00993637"/>
    <w:rsid w:val="0099546D"/>
    <w:rsid w:val="00A05A3E"/>
    <w:rsid w:val="00A73236"/>
    <w:rsid w:val="00AA7C3B"/>
    <w:rsid w:val="00B61F7D"/>
    <w:rsid w:val="00B62B31"/>
    <w:rsid w:val="00B82654"/>
    <w:rsid w:val="00BC31A8"/>
    <w:rsid w:val="00BE459E"/>
    <w:rsid w:val="00BE6904"/>
    <w:rsid w:val="00C1549A"/>
    <w:rsid w:val="00C22026"/>
    <w:rsid w:val="00C71125"/>
    <w:rsid w:val="00C91FC8"/>
    <w:rsid w:val="00CA4F9D"/>
    <w:rsid w:val="00D2050D"/>
    <w:rsid w:val="00D971F3"/>
    <w:rsid w:val="00DB1945"/>
    <w:rsid w:val="00DB6D81"/>
    <w:rsid w:val="00DB75D6"/>
    <w:rsid w:val="00DC667C"/>
    <w:rsid w:val="00DE3F95"/>
    <w:rsid w:val="00DF425E"/>
    <w:rsid w:val="00E03572"/>
    <w:rsid w:val="00E40E27"/>
    <w:rsid w:val="00E46B80"/>
    <w:rsid w:val="00E479CD"/>
    <w:rsid w:val="00E64EDE"/>
    <w:rsid w:val="00F56B24"/>
    <w:rsid w:val="00F909F7"/>
    <w:rsid w:val="00FA5B30"/>
    <w:rsid w:val="00FC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4DE"/>
    <w:rPr>
      <w:lang w:val="sk-SK"/>
    </w:rPr>
  </w:style>
  <w:style w:type="paragraph" w:styleId="Nadpis3">
    <w:name w:val="heading 3"/>
    <w:basedOn w:val="Normlny"/>
    <w:link w:val="Nadpis3Char"/>
    <w:uiPriority w:val="9"/>
    <w:qFormat/>
    <w:rsid w:val="007734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734D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7734D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para">
    <w:name w:val="para"/>
    <w:basedOn w:val="Normlny"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lnywebov">
    <w:name w:val="Normal (Web)"/>
    <w:basedOn w:val="Normlny"/>
    <w:uiPriority w:val="99"/>
    <w:unhideWhenUsed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PremennHTML">
    <w:name w:val="HTML Variable"/>
    <w:basedOn w:val="Predvolenpsmoodseku"/>
    <w:uiPriority w:val="99"/>
    <w:semiHidden/>
    <w:unhideWhenUsed/>
    <w:rsid w:val="007734DE"/>
    <w:rPr>
      <w:i/>
      <w:iCs/>
    </w:rPr>
  </w:style>
  <w:style w:type="character" w:styleId="Hypertextovprepojenie">
    <w:name w:val="Hyperlink"/>
    <w:basedOn w:val="Predvolenpsmoodseku"/>
    <w:uiPriority w:val="99"/>
    <w:semiHidden/>
    <w:unhideWhenUsed/>
    <w:rsid w:val="007734DE"/>
    <w:rPr>
      <w:color w:val="0000FF"/>
      <w:u w:val="single"/>
    </w:rPr>
  </w:style>
  <w:style w:type="paragraph" w:styleId="Zarkazkladnhotextu2">
    <w:name w:val="Body Text Indent 2"/>
    <w:basedOn w:val="Normlny"/>
    <w:link w:val="Zarkazkladnhotextu2Char"/>
    <w:uiPriority w:val="99"/>
    <w:rsid w:val="00C91FC8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C91FC8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styleId="Siln">
    <w:name w:val="Strong"/>
    <w:basedOn w:val="Predvolenpsmoodseku"/>
    <w:uiPriority w:val="22"/>
    <w:qFormat/>
    <w:rsid w:val="009422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F425E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F425E"/>
    <w:rPr>
      <w:lang w:val="sk-SK"/>
    </w:rPr>
  </w:style>
  <w:style w:type="character" w:customStyle="1" w:styleId="has-inline-color">
    <w:name w:val="has-inline-color"/>
    <w:basedOn w:val="Predvolenpsmoodseku"/>
    <w:rsid w:val="00E40E27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40E2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40E27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40E27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2B09D4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7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6159"/>
    <w:rPr>
      <w:rFonts w:ascii="Tahoma" w:hAnsi="Tahoma" w:cs="Tahoma"/>
      <w:sz w:val="16"/>
      <w:szCs w:val="16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4DE"/>
    <w:rPr>
      <w:lang w:val="sk-SK"/>
    </w:rPr>
  </w:style>
  <w:style w:type="paragraph" w:styleId="Nadpis3">
    <w:name w:val="heading 3"/>
    <w:basedOn w:val="Normlny"/>
    <w:link w:val="Nadpis3Char"/>
    <w:uiPriority w:val="9"/>
    <w:qFormat/>
    <w:rsid w:val="007734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734D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7734D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para">
    <w:name w:val="para"/>
    <w:basedOn w:val="Normlny"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lnywebov">
    <w:name w:val="Normal (Web)"/>
    <w:basedOn w:val="Normlny"/>
    <w:uiPriority w:val="99"/>
    <w:unhideWhenUsed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PremennHTML">
    <w:name w:val="HTML Variable"/>
    <w:basedOn w:val="Predvolenpsmoodseku"/>
    <w:uiPriority w:val="99"/>
    <w:semiHidden/>
    <w:unhideWhenUsed/>
    <w:rsid w:val="007734DE"/>
    <w:rPr>
      <w:i/>
      <w:iCs/>
    </w:rPr>
  </w:style>
  <w:style w:type="character" w:styleId="Hypertextovprepojenie">
    <w:name w:val="Hyperlink"/>
    <w:basedOn w:val="Predvolenpsmoodseku"/>
    <w:uiPriority w:val="99"/>
    <w:semiHidden/>
    <w:unhideWhenUsed/>
    <w:rsid w:val="007734DE"/>
    <w:rPr>
      <w:color w:val="0000FF"/>
      <w:u w:val="single"/>
    </w:rPr>
  </w:style>
  <w:style w:type="paragraph" w:styleId="Zarkazkladnhotextu2">
    <w:name w:val="Body Text Indent 2"/>
    <w:basedOn w:val="Normlny"/>
    <w:link w:val="Zarkazkladnhotextu2Char"/>
    <w:uiPriority w:val="99"/>
    <w:rsid w:val="00C91FC8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C91FC8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styleId="Siln">
    <w:name w:val="Strong"/>
    <w:basedOn w:val="Predvolenpsmoodseku"/>
    <w:uiPriority w:val="22"/>
    <w:qFormat/>
    <w:rsid w:val="009422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F425E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F425E"/>
    <w:rPr>
      <w:lang w:val="sk-SK"/>
    </w:rPr>
  </w:style>
  <w:style w:type="character" w:customStyle="1" w:styleId="has-inline-color">
    <w:name w:val="has-inline-color"/>
    <w:basedOn w:val="Predvolenpsmoodseku"/>
    <w:rsid w:val="00E40E27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40E2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40E27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40E27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2B09D4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7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6159"/>
    <w:rPr>
      <w:rFonts w:ascii="Tahoma" w:hAnsi="Tahoma" w:cs="Tahoma"/>
      <w:sz w:val="16"/>
      <w:szCs w:val="16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4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24</cp:revision>
  <cp:lastPrinted>2021-02-13T13:41:00Z</cp:lastPrinted>
  <dcterms:created xsi:type="dcterms:W3CDTF">2020-12-09T16:56:00Z</dcterms:created>
  <dcterms:modified xsi:type="dcterms:W3CDTF">2021-02-28T09:24:00Z</dcterms:modified>
</cp:coreProperties>
</file>